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CD" w:rsidRDefault="00AF3ECD" w:rsidP="00AF3ECD">
      <w:pPr>
        <w:jc w:val="right"/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>Załącznik nr</w:t>
      </w:r>
      <w:bookmarkStart w:id="0" w:name="_GoBack"/>
      <w:bookmarkEnd w:id="0"/>
      <w:r>
        <w:rPr>
          <w:rFonts w:ascii="Arial Narrow" w:hAnsi="Arial Narrow"/>
          <w:b/>
          <w:szCs w:val="20"/>
          <w:lang w:val="pl-PL"/>
        </w:rPr>
        <w:t xml:space="preserve"> 1</w:t>
      </w:r>
      <w:r w:rsidR="0064161F">
        <w:rPr>
          <w:rFonts w:ascii="Arial Narrow" w:hAnsi="Arial Narrow"/>
          <w:b/>
          <w:szCs w:val="20"/>
          <w:lang w:val="pl-PL"/>
        </w:rPr>
        <w:t xml:space="preserve">A </w:t>
      </w:r>
      <w:r>
        <w:rPr>
          <w:rFonts w:ascii="Arial Narrow" w:hAnsi="Arial Narrow"/>
          <w:b/>
          <w:szCs w:val="20"/>
          <w:lang w:val="pl-PL"/>
        </w:rPr>
        <w:t>do SIWZ</w:t>
      </w:r>
    </w:p>
    <w:p w:rsidR="00AF3ECD" w:rsidRDefault="00AF3ECD">
      <w:pPr>
        <w:rPr>
          <w:rFonts w:ascii="Arial Narrow" w:hAnsi="Arial Narrow"/>
          <w:b/>
          <w:szCs w:val="20"/>
          <w:lang w:val="pl-PL"/>
        </w:rPr>
      </w:pPr>
    </w:p>
    <w:p w:rsidR="00AF3ECD" w:rsidRPr="00AF3ECD" w:rsidRDefault="00AF3ECD">
      <w:pPr>
        <w:rPr>
          <w:rFonts w:ascii="Arial Narrow" w:hAnsi="Arial Narrow"/>
          <w:b/>
          <w:sz w:val="28"/>
          <w:szCs w:val="20"/>
          <w:lang w:val="pl-PL"/>
        </w:rPr>
      </w:pPr>
    </w:p>
    <w:p w:rsidR="00385802" w:rsidRPr="00AF3ECD" w:rsidRDefault="00AF3ECD">
      <w:pPr>
        <w:rPr>
          <w:rFonts w:ascii="Arial Narrow" w:hAnsi="Arial Narrow"/>
          <w:b/>
          <w:sz w:val="28"/>
          <w:szCs w:val="20"/>
          <w:lang w:val="pl-PL"/>
        </w:rPr>
      </w:pPr>
      <w:r w:rsidRPr="00AF3ECD">
        <w:rPr>
          <w:rFonts w:ascii="Arial Narrow" w:hAnsi="Arial Narrow"/>
          <w:b/>
          <w:sz w:val="28"/>
          <w:szCs w:val="20"/>
          <w:lang w:val="pl-PL"/>
        </w:rPr>
        <w:t>Wymagania techniczne w zakresie aparatu, magazynowania i serwisu pogwarancyjnego</w:t>
      </w:r>
      <w:r w:rsidR="00385802" w:rsidRPr="00AF3ECD">
        <w:rPr>
          <w:rFonts w:ascii="Arial Narrow" w:hAnsi="Arial Narrow"/>
          <w:b/>
          <w:sz w:val="28"/>
          <w:szCs w:val="20"/>
          <w:lang w:val="pl-PL"/>
        </w:rPr>
        <w:t>:</w:t>
      </w:r>
    </w:p>
    <w:p w:rsidR="00966DD8" w:rsidRDefault="00966DD8">
      <w:pPr>
        <w:rPr>
          <w:rFonts w:ascii="Arial Narrow" w:hAnsi="Arial Narrow"/>
          <w:b/>
          <w:szCs w:val="20"/>
          <w:lang w:val="pl-PL"/>
        </w:rPr>
      </w:pPr>
    </w:p>
    <w:p w:rsidR="00AF3ECD" w:rsidRPr="00966DD8" w:rsidRDefault="00AF3ECD">
      <w:pPr>
        <w:rPr>
          <w:rFonts w:ascii="Arial Narrow" w:hAnsi="Arial Narrow"/>
          <w:b/>
          <w:szCs w:val="20"/>
          <w:lang w:val="pl-PL"/>
        </w:rPr>
      </w:pPr>
    </w:p>
    <w:p w:rsidR="0019305A" w:rsidRDefault="00AF3ECD" w:rsidP="00385802">
      <w:pPr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 xml:space="preserve">Rozdział </w:t>
      </w:r>
      <w:r w:rsidR="00385802" w:rsidRPr="00966DD8">
        <w:rPr>
          <w:rFonts w:ascii="Arial Narrow" w:hAnsi="Arial Narrow"/>
          <w:b/>
          <w:szCs w:val="20"/>
          <w:lang w:val="pl-PL"/>
        </w:rPr>
        <w:t>I</w:t>
      </w:r>
      <w:r>
        <w:rPr>
          <w:rFonts w:ascii="Arial Narrow" w:hAnsi="Arial Narrow"/>
          <w:b/>
          <w:szCs w:val="20"/>
          <w:lang w:val="pl-PL"/>
        </w:rPr>
        <w:t>:</w:t>
      </w:r>
      <w:r w:rsidR="00385802" w:rsidRPr="00966DD8">
        <w:rPr>
          <w:rFonts w:ascii="Arial Narrow" w:hAnsi="Arial Narrow"/>
          <w:b/>
          <w:szCs w:val="20"/>
          <w:lang w:val="pl-PL"/>
        </w:rPr>
        <w:t xml:space="preserve"> </w:t>
      </w:r>
      <w:r>
        <w:rPr>
          <w:rFonts w:ascii="Arial Narrow" w:hAnsi="Arial Narrow"/>
          <w:b/>
          <w:szCs w:val="20"/>
          <w:lang w:val="pl-PL"/>
        </w:rPr>
        <w:t>Opis parametrów wymaganych dla</w:t>
      </w:r>
      <w:r w:rsidR="00385802" w:rsidRPr="00966DD8">
        <w:rPr>
          <w:rFonts w:ascii="Arial Narrow" w:hAnsi="Arial Narrow"/>
          <w:b/>
          <w:szCs w:val="20"/>
          <w:lang w:val="pl-PL"/>
        </w:rPr>
        <w:t xml:space="preserve"> aparatu do rezonansu magnetycznego wraz z przebudową pomieszczeń  </w:t>
      </w:r>
    </w:p>
    <w:p w:rsidR="00966DD8" w:rsidRPr="00966DD8" w:rsidRDefault="00966DD8" w:rsidP="00385802">
      <w:pPr>
        <w:rPr>
          <w:rFonts w:ascii="Arial Narrow" w:hAnsi="Arial Narrow"/>
          <w:b/>
          <w:szCs w:val="20"/>
          <w:lang w:val="pl-P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4851"/>
        <w:gridCol w:w="3837"/>
      </w:tblGrid>
      <w:tr w:rsidR="00966DD8" w:rsidRPr="00966DD8" w:rsidTr="005E58EE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  <w:t>Sprzęt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18"/>
                <w:szCs w:val="18"/>
                <w:lang w:val="pl-PL" w:eastAsia="pl-PL" w:bidi="ar-SA"/>
              </w:rPr>
              <w:t>Liczba sztuk</w:t>
            </w:r>
          </w:p>
        </w:tc>
      </w:tr>
      <w:tr w:rsidR="00966DD8" w:rsidRPr="00966DD8" w:rsidTr="005E58EE">
        <w:trPr>
          <w:cantSplit/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ind w:left="1445" w:hanging="1445"/>
              <w:jc w:val="center"/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1E36B8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/>
                <w:bCs/>
                <w:kern w:val="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/>
                <w:kern w:val="0"/>
                <w:lang w:val="pl-PL" w:eastAsia="pl-PL" w:bidi="ar-SA"/>
              </w:rPr>
              <w:t>Aparat do rezonansu magnetycznego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</w:tr>
      <w:tr w:rsidR="00966DD8" w:rsidRPr="00966DD8" w:rsidTr="005E58EE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966DD8" w:rsidRDefault="001E36B8" w:rsidP="00430BD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966DD8" w:rsidRDefault="001E36B8" w:rsidP="00430BD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  <w:t>Producent………………………………………………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966DD8" w:rsidRDefault="001E36B8" w:rsidP="00430BD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kern w:val="0"/>
                <w:sz w:val="18"/>
                <w:szCs w:val="18"/>
                <w:lang w:val="pl-PL" w:eastAsia="pl-PL" w:bidi="ar-SA"/>
              </w:rPr>
              <w:t>Model……………………………………………</w:t>
            </w:r>
          </w:p>
        </w:tc>
      </w:tr>
      <w:tr w:rsidR="00966DD8" w:rsidRPr="00556463" w:rsidTr="005E58EE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Wymagania Zamawiającego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Potwierdzenie minimalnych wymagań lub /Parametry oferowane (podać dokładne wartości ) oraz nr strony z katalogu</w:t>
            </w:r>
          </w:p>
        </w:tc>
      </w:tr>
      <w:tr w:rsidR="00966DD8" w:rsidRPr="00966DD8" w:rsidTr="00686AA3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36B8" w:rsidRPr="00966DD8" w:rsidRDefault="00686AA3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M</w:t>
            </w:r>
            <w:r w:rsidR="001E36B8" w:rsidRPr="00966DD8">
              <w:rPr>
                <w:rFonts w:ascii="Arial Narrow" w:hAnsi="Arial Narrow"/>
                <w:sz w:val="20"/>
                <w:szCs w:val="20"/>
              </w:rPr>
              <w:t>agnes</w:t>
            </w:r>
            <w:proofErr w:type="spellEnd"/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D5202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Indukcja st</w:t>
            </w:r>
            <w:r w:rsidR="00DA56A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ałego pola </w:t>
            </w:r>
            <w:r w:rsidR="00DA56A8" w:rsidRPr="00D5202E">
              <w:rPr>
                <w:rFonts w:ascii="Arial Narrow" w:hAnsi="Arial Narrow" w:cs="Arial"/>
                <w:sz w:val="20"/>
                <w:szCs w:val="20"/>
                <w:lang w:val="pl-PL"/>
              </w:rPr>
              <w:t>magnetycznego</w:t>
            </w:r>
            <w:r w:rsidR="00DA56A8" w:rsidRPr="00D5202E"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 xml:space="preserve">: </w:t>
            </w:r>
            <w:r w:rsidRPr="00D5202E">
              <w:rPr>
                <w:rFonts w:ascii="Arial Narrow" w:hAnsi="Arial Narrow" w:cs="Arial"/>
                <w:sz w:val="20"/>
                <w:szCs w:val="20"/>
                <w:lang w:val="pl-PL"/>
              </w:rPr>
              <w:t>3T</w:t>
            </w:r>
            <w:r w:rsidR="00D5202E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± 8%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Konstrukcja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magnesu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tunelowa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zamknięta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59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Zamknięty system chłodzenia magnesu ciekłym  helem w technologii zero-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boil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-off. Zużycie helu  podczas pracy rezonansu     ≤ 0,01 l/rok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D5202E" w:rsidRDefault="001E36B8" w:rsidP="00410594">
            <w:pPr>
              <w:jc w:val="center"/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Aktywny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SHIM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instalacyjny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74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Sprzętowa lub programowa korekta  homogeniczności pola 3D po wprowadzeniu do magnesu pacjenta, wystarczająca do uzyskania wysokiej jakości w spektroskopii 2D CSI, 3D CSI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763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Średnica otworu pacjenta w najwęższym miejscu (magnes z systemem SHIM, cewkami gradientowymi, cewką nadawczo-odbiorczą i obudowami); wymagane ≥ 70 cm.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2B771A">
        <w:trPr>
          <w:cantSplit/>
          <w:trHeight w:val="2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71A" w:rsidRPr="00966DD8" w:rsidRDefault="002B771A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A" w:rsidRPr="00966DD8" w:rsidRDefault="002B771A" w:rsidP="002B771A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Klatka Faradaya ekranująca pomieszczenie magnesu.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A" w:rsidRPr="00966DD8" w:rsidRDefault="002B771A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System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gradientowy</w:t>
            </w:r>
            <w:proofErr w:type="spellEnd"/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Cewki gradientowe chłodzone wodą wraz z pakietem redukującym hałas generowany przez gradienty.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 xml:space="preserve">Software’owy i </w:t>
            </w:r>
            <w:proofErr w:type="spellStart"/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>hardware’owy</w:t>
            </w:r>
            <w:proofErr w:type="spellEnd"/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 xml:space="preserve"> system redukcji hałasu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Maksymalna, rzeczywista amplituda we wszystkich osiach x, y, z (równocześnie) możliwa do zastosowania w obrazowaniu klinicznym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≥ 45 cm; wymagane nie mniej niż 40mT/m.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spacing w:before="100" w:after="100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Maksymalny, rzeczywisty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SlewRate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(we wszystkich osiach x, y, z równocześnie), możliwy do zastosowania w obrazowaniu klinicznym,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≥ 45 cm; wymagane nie mniej niż 200 T/m/s.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System RF</w:t>
            </w: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Adaptowanie sygnału nadawczego RF (amplituda, faza, moc, kierunek nadawania) dla obu kanałów nadawczych w sposób automatyczny indywidualnie dla każdego pacjenta na podstawie analizy badanej anatomii w celu eliminacji cieni dielektrycznych i minimalizacji SAR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Moc wzmacniacza lub sumaryczna moc wzmacniaczy, jeżeli jest więcej niż jeden nadajnik; wymagane nie mniej niż 30 kW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Rozdzielczość amplitudowa odbiornika; wymagane ≥ 16 bitów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System z transmisją cyfrową. Minimum od magnesu do rekonstruktora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Liczba równoległych kanałów odbiorczych ≥ 48 lub system w pełni cyfrowy (technologia cewek z wyjściem optycznym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dStream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równoważna)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Dynamika sygnału (SNR) sekcji odbiorczej modułu RF minimum </w:t>
            </w:r>
            <w:r w:rsidRPr="00966DD8"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  <w:t xml:space="preserve">150 </w:t>
            </w:r>
            <w:proofErr w:type="spellStart"/>
            <w:r w:rsidRPr="00966DD8"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  <w:t>dB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Cyfrowa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filtracja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RF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Kontrola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częstotliwości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Kontrola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fazy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Kontrola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amplitudy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System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minimalizacji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SAR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Cewki</w:t>
            </w:r>
            <w:proofErr w:type="spellEnd"/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Zintegrowana cewka nadawczo –odbiorcza w obudowie magnesu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body)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Wielokanałowa cewka lub kombinacja cewek do badania głowy i szyi 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neuro-vascular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umożliwiająca stosowanie w obrębie całego badanego obiektu akwizycji równoległych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ASSET,  lub zgodnie z nomenklaturą producenta) min.16 elementów pomiarowych i min. 16 kanałów odbiorczych w obrębie badanego obiektu. Podać ilość kanałów, nazwę zaoferowanej cewki (lub zestawu cewek) i techniki obrazowania równoległego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Wielokanałowa cewka lub zestaw cewek do badania całego kręgosłupa (C, Th, L) z automatycznym przesuwem stołu pacjenta, sterowanym z protokołu badania, bez repozycjonowania pacjenta, umożliwiająca stosowanie akwizycji równoległych całego obiektu; zgodnie z nomenklaturą producenta; min. 32 kanały odbiorcze. Podać ilość kanałów, nazwę zaoferowanej cewki (lub zestawu cewek) i techniki obrazowania równoległego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lub kombinacja cewek do badania całego ośrodkowego układu nerwowego (głowy i kręgosłupa) z automatycznym przesuwem stołu pacjenta, sterowanym z protokołu badania, bez repozycjonowania pacjenta, umożliwiająca stosowanie akwizycji równoległych całego obiektu; zgodnie z nomenklaturą producenta min. 48 kanałów odbiorczych w obrębie badanego obiektu. Podać ilość kanałów, nazwę zaoferowanej cewki (lub zestawu cewek) i techniki obrazowania równoległego;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powierzchniowa lub zestaw cewek do badania jamy brzusznej lub klatki piersiowej w zakresie minimum 50 cm, umożliwiająca stosowanie w obrębie całego badanego obiektu akwizycji równoległych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 lub  zgodnie z nomenklaturą producenta) ,  min. 32 kanały odbiorcze w obrębie badanego obiektu-Podać.  Podać nazwę zaoferowanej cewki (lub zestawu cewek) i techniki równoległej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Dedykowana wielokanałowa cewka sztywna do badania stawu kolanowego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ASSET- zgodnie z nomenklaturą producenta) ,  min. 8 kanałów odbiorczych w obrębie badanego obiektu. Podać ilość kanałów, nazwę zaoferowanej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cewkii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techniki obrazowania równoległego.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Dedykowana wielokanałowa cewka sztywna do badania stopy i stawu skokowego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,  min. 8 kanałów odbiorczych w obrębie badanego obiektu. Podać ilość kanałów, nazwę zaoferowanej cewki (lub zestawu cewek) i techniki obrazowania równoległego.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Dedykowana wielokanałowa cewka sztywna do badania stawu barkowego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,  min. 8 kanałów odbiorczych w obrębie badanego obiektu. Podać ilość kanałów, nazwę zaoferowanej cewki i techniki obrazowania równoległego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uniwersalna do badania małych i średnich stawów pozwalająca na  akwizycje równoległe   (typu SENSE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min. 4 kanałów odbiorczych w obrębie badanego obiektu. Podać ilość kanałów, nazwę zaoferowanej cewki i techniki obrazowania równoległego,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minimum 4 szt.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Cewka elastyczna typu „średni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flex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” lub według nomenklatury producenta, umożliwiająca obrazowanie barku, kolana (obrzękniętego stawu), łokcia oraz biodra min. 4 kanałów odbiorczych w obrębie badanego obiektu.  Podać ilość kanałów, nazwę zaoferowanej cewki i techniki obrazowania równoległego,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minimum 4 szt.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System do uporządkowanego przechowywania odpowiedniej liczby cewek i fantomów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Otoczenie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pacjenta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457" w:rsidRPr="00966DD8" w:rsidRDefault="009D6457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7" w:rsidRPr="00966DD8" w:rsidRDefault="009D6457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Zestaw podkładek do pozycjonowania pacjenta</w:t>
            </w:r>
            <w:r w:rsidR="00224AFC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minimum:</w:t>
            </w:r>
          </w:p>
          <w:p w:rsidR="009D6457" w:rsidRPr="00966DD8" w:rsidRDefault="009D6457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Podpora głowy</w:t>
            </w:r>
          </w:p>
          <w:p w:rsidR="009D6457" w:rsidRPr="00966DD8" w:rsidRDefault="009D6457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Pasy mocujące typu </w:t>
            </w:r>
            <w:r w:rsidR="00F262E0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„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rzep</w:t>
            </w:r>
            <w:r w:rsidR="00F262E0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</w:t>
            </w:r>
          </w:p>
          <w:p w:rsidR="009D6457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„worki z piaskiem” do stabilizacji pacjenta du</w:t>
            </w:r>
            <w:r w:rsidR="00224AFC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ż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 i małe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Uchwyt na rolkę papieru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Rolka pozycjonująca duża z gąbki 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Klin z gąbki duży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Trójkąty z gąbki małe i duże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Poduszka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lordozowa</w:t>
            </w:r>
            <w:proofErr w:type="spellEnd"/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Poduszki prostokątne płaskie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Poduszka pod stopę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Poduszki kolanowe w kształcie półwalca z gąbki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Poduszka jednorodnego RF</w:t>
            </w:r>
          </w:p>
          <w:p w:rsidR="00F262E0" w:rsidRPr="00966DD8" w:rsidRDefault="00F262E0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Poduszka relaksacyjna</w:t>
            </w:r>
          </w:p>
          <w:p w:rsidR="002B771A" w:rsidRPr="00966DD8" w:rsidRDefault="002B771A" w:rsidP="009D645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Rolka do przenoszenia pacjenta z łóżka na stół aparatu </w:t>
            </w:r>
          </w:p>
          <w:p w:rsidR="00F262E0" w:rsidRPr="00966DD8" w:rsidRDefault="00F262E0" w:rsidP="00F262E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Regał na podkładki i cewki, w pomieszczeniu MR dostosowany do</w:t>
            </w:r>
          </w:p>
          <w:p w:rsidR="00F262E0" w:rsidRPr="00966DD8" w:rsidRDefault="00F262E0" w:rsidP="00F262E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Wymienionych powyżej elementów w konstrukcji otwartej (bez drzwiczek) z dodatkową półką na środki dezynfekcyjne.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7" w:rsidRPr="00966DD8" w:rsidRDefault="009D6457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2E0" w:rsidRPr="00966DD8" w:rsidRDefault="00F262E0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E0" w:rsidRPr="00966DD8" w:rsidRDefault="00F262E0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Kompaktowy wykrywacz metali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E0" w:rsidRPr="00966DD8" w:rsidRDefault="00F262E0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Maksymalna dopuszczalna masa pacjenta (przy uwzględnieniu również ruchu pionowego stołu)  ≥  200 kg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Podstawka do cewki typu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torso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(do badania tułowia) stosowana</w:t>
            </w:r>
            <w:r w:rsidR="00224AFC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do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pacjentów z urazami uniemożliwiającymi ułożenie cewki bezpośrednio na ciele pacjenta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System monitorowania pacjenta (EKG, puls i oddech) dla wypracowania sygnałów synchronizujących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Dwukierunkowy interkom do komunikacji z pacjentem. Wymagane słuchawki tłumiące hałas dla pacjenta z możliwością komunikacji z pacjentem i odsłuchu muzyki w  trakcie badania.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Interkom zintegrowany z systemem AUDIO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Sygnalizacja dodatkowa, np.: gruszka, przycisk.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Marker laserowy lub świetlny lub inny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Nawiew powietrza w tunelu pacjenta.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Automatyczny przesuw stołu pacjenta (inicjowany programowo z protokołu podczas akwizycji danych), umożliwiający badanie dużych obszarów ciała przy użyciu cewek dłuższych niż max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(min. 48 cm w osi z) i/lub kilku cewek jednocześnie : ≥190 cm.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Aplikacje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kliniczne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Rutynowe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neuroradiologiczne</w:t>
            </w:r>
            <w:proofErr w:type="spellEnd"/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morfologiczne w obszarze głowy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morfologiczne w obszarze wybranych odcinków i całego kręgosłupa.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morfologiczne w obszarze głowy i całego kręgosłupa.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895545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Dyfuzja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Obrazowanie dyfuzji w oparciu o Single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EPI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80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dyfuzji z wysoką rozdzielczością (non-single-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np. sekwencjami typu PSIF-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Diffusion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High-Resolution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Diffusion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Propeller lub odpowiednio do nomenklatury producenta).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7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Maksymalna wartość b: ≥ 10 000 s/mm2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Tahoma"/>
                <w:bCs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Liczenie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map ADC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Automatyczne generowanie map TRACE i map ADC; według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Badanie dyfuzyjne w obszarze głowy i kręgosłupa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Badanie dyfuzyjne narządów jamy brzusznej i miednicy mniejszej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DWI całego ciała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body DWI)  z zestawem cewek, jeżeli są wymagane do realizacji tej funkcjonalności.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Prezentacja typu „PET-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like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DWI” lub równoważna wg nomenklatury producenta z fuzją obrazu czynnościowego lub morfologicznego.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Obrazowanie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tensora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dyfuzji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(DTI</w:t>
            </w:r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DTI w oparciu o Single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EPI.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Pomiary z różnymi kierunkami. Liczba różnych kierunków: wymagane ≥128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Automatyczna kalkulacja tensora dyfuzji; technologia według wg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Aplikacja do zaawansowanej analizy badań DTI; wg nomenklatury producenta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Traktografia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tensora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dyfuzji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Perfuzja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perfuzji w oparciu o Single-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Shot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EPI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Automatyczne generowanie map TTP (Time-to-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Peak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) na konsoli podstawowej przy badaniach perfuzji MR; wg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Aplikacja do zaawansowanego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badań perfuzji- możliwość obliczenia CBF, CBV, MTT dla każdego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voxela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trybie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multi-voxel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Bezkontrastowa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perfuzja mózgu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Arterial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Spin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Labeling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 odpowiednio do nomenklatury producenta) z możliwością badania całego mózgowia.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funkcjonalne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(fMRI)</w:t>
            </w: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funkcjonalne mózgu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) w oparciu o techniki BOLD.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Nawigator 3D prospektywny do badań funkcjonalnych głowy – detekcja i korekcja artefaktów ruchowych w trzech kierunkach jednocześnie; wg nomenklatury producenta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automatyczną wizualizacją 2D lub 3D w czasie rzeczywistym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Real Time BOLD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iView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odpowiednik); wg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 automatyczną wizualizacją 3D w czasie rzeczywistym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Real Time BOLD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iView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BOLD lub odpowiednik); wg nomenklatury producenta.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Nakładanie map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pobudzeń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badaniach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czasie rzeczywistym; technologia odpowiednio do nomenklatury producenta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Korekcja zniekształceń geometrycznych EPI (EPI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Distortion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Maksymalna liczba obrazów w jednej akwizycji ≥ 15 000 obrazów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Budowanie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własnych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protokołów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(paradigms)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Dostęp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do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danych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akwizycyjnych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Wyzwalanie sekwencji obrazujących z zewnętrznego urządzenia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trigger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in).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Wysyłanie przez  skaner sygnału synchronizacji do zewnętrznego urządzenia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trigger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out)</w:t>
            </w:r>
          </w:p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Aplikacje do zaawansowanego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badań czynnościowych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tym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traktografii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mózgu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1B28CD" w:rsidRPr="00556463" w:rsidTr="001B28CD">
        <w:trPr>
          <w:cantSplit/>
          <w:trHeight w:val="41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CD" w:rsidRPr="00966DD8" w:rsidRDefault="001B28CD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System stymulacji pacjenta do badań </w:t>
            </w:r>
            <w:proofErr w:type="spellStart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>fMRI</w:t>
            </w:r>
            <w:proofErr w:type="spellEnd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umożliwiający też odtwarzanie filmów w standardach </w:t>
            </w:r>
            <w:proofErr w:type="spellStart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>dvd</w:t>
            </w:r>
            <w:proofErr w:type="spellEnd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>avi</w:t>
            </w:r>
            <w:proofErr w:type="spellEnd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>mpg</w:t>
            </w:r>
            <w:proofErr w:type="spellEnd"/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lub telewizji </w:t>
            </w:r>
            <w:r w:rsidRPr="001B28CD">
              <w:rPr>
                <w:rFonts w:ascii="Arial Narrow" w:hAnsi="Arial Narrow" w:cs="Arial"/>
                <w:sz w:val="20"/>
                <w:szCs w:val="20"/>
                <w:lang w:val="pl-PL"/>
              </w:rPr>
              <w:tab/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8CD" w:rsidRPr="00966DD8" w:rsidRDefault="001B28CD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895545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Angiografia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MR (MRA)</w:t>
            </w: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Time-of-Flight MRA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2D/3D Phase Contrast MRA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Contrast-enhanced MRA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ceMRA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Techniki angiografii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bezkontrastowej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(Native 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Trance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Dynamiczne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3D MRA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Dynamiczne badania angiograficzne 4D (3D dynamiczne w czasie) z wysoką rozdzielczością przestrzenną i czasową, pozwalające na wizualizację dynamiki napływu i odpływu środka kontrastowego z obszaru zainteresowania (TRICKS-XV lub TWIST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Bolus Timing (Bolus Trak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Care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Bolus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Magnetisation Transfer  Contrast (MTC)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Zoptymalizowana kolejność kodowania faz (wypełniania przestrzeni k) do uzyskiwania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angiogramów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tętnic o wysokiej rozdzielczości z tłumieniem sygnału przepływu żylnego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CentricElliptical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EllipticCentric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Centra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MRA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naczyń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domózgowych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MRA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naczyń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obwodowych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385802">
        <w:trPr>
          <w:cantSplit/>
          <w:trHeight w:val="368"/>
        </w:trPr>
        <w:tc>
          <w:tcPr>
            <w:tcW w:w="9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CB5F22">
            <w:pPr>
              <w:pStyle w:val="Akapitzlist"/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kardiologiczne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Podstawowe protokoły do badań morfologicznych serca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Badanie serca z tłumieniem sygnału krwi (Dark Blood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)</w:t>
            </w:r>
          </w:p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double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IR +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triple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IR).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czynności serca z opcją dynamiczną(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functional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/ CINE)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Dyfuzja pierwszego przejścia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Ocena  opóźnionego wzmocnienia kontrastowego 2D i 3D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Sekwencje umożliwiające optymalizacje czasu TI w badaniach opóźnionego wzmocnienia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Obrazowanie tętnic wieńcowych (SSFP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Heart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Coronary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Heart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Heart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lub odpowiednio do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Nawigator kardiologiczny (bramkowanie w oparciu o monitorowanie ruchu przepony)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Badania typu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tagging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 (kodowanie sylwetki mięśnia sercowego z przekroju 2D wzorem geometrycznym)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F22" w:rsidRPr="00966DD8" w:rsidRDefault="00CB5F22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385802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Badanie MR-ECHO – obrazowanie w czasie rzeczywistym w celu projektowania zlokalizowania kolejnych przekrojów oraz tzw. Szybkiej wstępnej oceny morfologii i funkcji serca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F22" w:rsidRPr="00966DD8" w:rsidRDefault="00CB5F22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obszarze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tułowia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Pakiet do szybkiego, dynamicznego obrazowania piersi, pozwalający na wykorzystanie technik równoległych (VIEWS lub VIBRANT lub BLISS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3D GR Echo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Dedykowane protokoły pomiarowe /sekwencje umożliwiające wykonywanie badań dyfuzyjnych w obszarze body (DWIBS, REVEAL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Dynamiczne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wątroby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Cholangiografia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Single Shot MRCP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Akwizycja techniką HASTE, RARE lub techniką równoważną wg nomenklatury producenta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Pakiet oprogramowania pozwalający na symultaniczne uzyskanie podczas jednej akwizycji obrazów 4-ech typów: in-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out-of-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water-only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optymalizowany dla badań tułowia (DIXON lub IDEAL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mDIXON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Body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Specialist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Nawigator 2D dla badań w obszarze abdominalnym (detekcja i korekcja artefaktów ruchowych w dwóch kierunkach jednocześnie, np. w płaszczyźnie obrazu (2D PACE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ortopedyczne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stawu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kolanowego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stawu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skokowego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barku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nadgarstka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Pakiet oprogramowania pozwalający na symultaniczne uzyskanie podczas jednej akwizycji obrazów 4-ech typów: in-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out-of-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phase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water-only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fat-only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optymalizowany dla badań stawów (DIXON lub IDEAL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mDIXON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TSE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Spektroskopia</w:t>
            </w:r>
            <w:proofErr w:type="spellEnd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</w:rPr>
              <w:t>protonowa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1H Single-Voxel Spectroscopy (SVS)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>technikami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PRESS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STEAM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2D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3D 1H Chemical Shift Imaging (CSI)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Badania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spektroskopowe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1H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mózgu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Aplikacja do zaawansowanego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badań spektroskopii typu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Spectroscopy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Evaluation lub SAGE lub typu równoważnego wg nomenklatury producenta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Możliwość generowania kolorowych map lokalizacyjnych metabolitów oraz modelowania spektrogramów i obliczania stężeń poszczególnych metabolitów mózgowia (np.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international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units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– IU)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Nakładanie danych CSI na obrazy morfologiczne np. </w:t>
            </w:r>
            <w:r w:rsidRPr="00966DD8">
              <w:rPr>
                <w:rFonts w:ascii="Arial Narrow" w:hAnsi="Arial Narrow" w:cs="Arial"/>
                <w:sz w:val="20"/>
                <w:szCs w:val="20"/>
              </w:rPr>
              <w:t>DTI, T2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Możliwość wykonania spektroskopii z opcją dynamiczną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Możliwość eksportu danych spektroskopowych typu “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raw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data”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b/>
                <w:bCs/>
                <w:sz w:val="20"/>
                <w:szCs w:val="20"/>
                <w:lang w:val="pl-PL"/>
              </w:rPr>
              <w:t>Techniki do spektralnej saturacji/pobudzania wody i tłuszcz</w:t>
            </w:r>
            <w:r w:rsidRPr="00966DD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u</w:t>
            </w: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Częściowa selektywna saturacja tłuszczu i wody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równoległe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SENSE, ASSET, GEM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równoległe w oparciu o algorytmy na bazie rekonstrukcji obrazów (SENSE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Obrazowanie równoległe w oparciu o algorytmy na bazie rekonstrukcji przestrzeni k (GRAPPA, GEM, ARC lub odpowiednio do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Maksymalny współczynnik przyspieszenia dla obrazowania równoległego: ≥ 4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Techniki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redukcji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artefaktów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Korekcja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artefaktów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ruchowych</w:t>
            </w:r>
            <w:proofErr w:type="spellEnd"/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 przy obrazowaniu T2 (BLADE lub Propeller lub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głowie, szyi i kończynach, występujących w kierunku poprzecznym przy obrazowaniu FLAIR /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DarkFluid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(BLADE,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Propeller lub 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83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 przy obrazowaniu T1 ważonym (T1 lub/i T1 FLAIR ) (BLADE,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895545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Technika redukcji artefaktów ruchowych w głowie lub/i innych anatomiach przy obrazowaniu PD (BLADE,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MultiVane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Bramkowanie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oddechowe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oddechowe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retrospektywne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EKG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Bramkowanie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EKG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retrospektywne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Inne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Presaturacja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przestrzenna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Korekcja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artefaktów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spowodowanych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przepływem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Eliminacja artefaktów powstałych na styku tkanki miękkiej i powietrza (tzw.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susceptibility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artifacts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”) w badaniu DWI głowy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Korekcja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dla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cewek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powierzchniowych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Próbkowanie nadmiarowe w kierunku fazowym i w kierunku częstotliwości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.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Sekwencje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Spin Echo (SE)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InversionRecovery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(IR)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Gradient Echo (GRE)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SPGR, FLASH, T1-FFE lub odpowiednik wg nomenklatury producenta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GRASS, FISP, FFE lub odpowiednik wg nomenklatury producenta.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Fast GRE z impulsami preparacyjnymi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TurboFLASH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,  MPGRASS, TFE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Szybkie 3D GRE z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quickfatsaturation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 (tj. tylko jeden impuls saturacji tłuszczu na cykl kodowania 3D) dla wysokorozdzielczego obrazowania 3D w obszarze brzucha przy zatrzymanym oddechu (VIBE, LAVA, THRIVE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2D i 3D GRE z RF-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rephasing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(PSIF, SSFP, T2-FFE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2D i 3D GRE z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full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transverse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rephasing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TrueFISP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,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Balanced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FFE, FIESTA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2D i 3D GRE z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full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transverse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rephasing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kombinacji ze spektralną saturacją tłuszczu 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TrueFISP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with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FatSaturation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FatSat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FIESTA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Turbo Spin Echo (TSE), Fast Spin Echo (FSE)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Multi-Shot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Single-Shot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Turbo IR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Sekwencje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Double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Echo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SteadyState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(DESS),  3D Dual Echo (lub odpowiednik wg nomenklatury producenta)  lub sekwencje klinicznie równoważne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Trójwymiarowe sekwencje do wysokorozdzielczego obrazowania drobnych struktur anatomicznych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TAKich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jak nerwy wewnątrzczaszkowe, ucha wewnętrznego, kręgosłupa szyjnego, działające w oparciu o mechanizm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Constructive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Interference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Steady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State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(FIESTA-C lub 3D CISS lub odpowiednik wg nomenklatury producenta)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Trójwymiarowe wysokorozdzielcze sekwencje izotropowe (rozdzielczość izotropowa &lt; 1 mm), pozwalające na uzyskanie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3D rekonstrukcji dowolnej płaszczyzny bez utraty jakości, obsługujące obrazowanie ważone parametrami T2, FLAIR i PD, możliwe do zastosowania w badaniach zarówno głowy jak i innych obszarów ciała (SPACE lub CUBE lub odpowiednik wg nomenklatury producenta)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Sekwencje do obrazowania zależnego od podatności tkanek na magnetyzację –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susceptibility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weighted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” (SWI lub SWAN lub odpowiednik wg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Wysokorozdzielcze wieloechowe T2-zależne sekwencje do badania kręgosłupa (2D/3D MERGE lub odpowiednik wg nomenklatury producenta).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Sekwencje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wieloechowe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: minimum 16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ech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3D GRE: minimalny TR dla matrycy 256x256, możliwy do uzyskania w warunkach klinicznych (tj. widoczny w parametrach sekwencji) ≤ 1,0 ms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3D GRE: minimalny TE dla matrycy 256x256, możliwy do uzyskania w warunkach klinicznych (tj. widoczny w parametrach sekwencji) ≤ 0,34 ms.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EPI: minimalne echo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spacing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dla matrycy 256x256, możliwe do uzyskania w warunkach klinicznych (tj. widoczne w parametrach sekwencji) ≤ 0,66 ms.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5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en-US"/>
              </w:rPr>
              <w:t>Echo Planar Imaging (Single Shot / Multi Shot, Spin Echo, Gradient Echo).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3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Akwizycja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danych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Minimalna wartość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: wymagane ≤1 cm.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 wartość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(w osiach x, y): wymagane ≥ 50 cm.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58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 wartość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osi z (dla wszystkich oferowanych aplikacji i sekwencji skanowania): wymagane ≥ 45 cm.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Matryca akwizycyjna i rekonstrukcyjna: Wymagane ≥ 1024 x 1024, bez interpolacji.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Minimalna grubość warstwy (skany 2D):  wymagane ≤ 0,5 mm.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Minimalna grubość warstwy (skany 3D):  wymagane ≤ 0,1 mm.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Konsola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36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operatorka</w:t>
            </w:r>
            <w:proofErr w:type="spellEnd"/>
            <w:r w:rsidR="00A736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aparatu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Komputer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sterujący</w:t>
            </w:r>
            <w:proofErr w:type="spellEnd"/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Ilość obrazów archiwizowana na HD z matrycą 512 x 512 bez kompresji, minimum 60 000 obrazów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Archiwizacja obrazów na DVD lub Blu-ray z dogrywaniem przeglądarki DICOM (DICOM Viewer), umożliwiającej odtwarzanie obrazów na PC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1E36B8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Komputer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obrazowy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Szybkość rekonstrukcji dla obrazów w matrycy 256 x 256 przy pełnym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: wymagane ≥ 20000 obrazów / s.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Monitor/monitory</w:t>
            </w: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Monitor / monitory w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technologii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LCD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Przekątna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monitora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: minimum 19".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Matryca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monitora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:  minimum 1280 x 1024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Wszystkie monitory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spełniaja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wymagania dla monitorów diagnostycznych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Oprogramowanie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konsoli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operatorskiej</w:t>
            </w:r>
            <w:proofErr w:type="spellEnd"/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Pomiary geometryczne (odległości, kąty, powierzchnie, objętości)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Pomiary analityczne: intensywność sygnału, profile, histogramy.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MPR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MIP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Rekonstrukcje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3D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i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SSD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Oprogramowanie do obróbki widm i obrazów spektroskopowych SVS, 2D CSI i 3D CSI.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Oprogramowanie do łączenia poszczególnych obrazów z krokowych badań obszarów rozległych w jeden obraz.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Oprogramowanie do łączenia poszczególnych obrazów z krokowych badań obszarów rozległych w jeden obraz, funkcjonujące w sposób automatyczny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InlineComposing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lub odpowiednik wg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Analiza wolumetryczna (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Inline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VF lub odpowiednik wg nomenklatury producenta).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7D" w:rsidRPr="00966DD8" w:rsidRDefault="00093B7D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7D" w:rsidRPr="00966DD8" w:rsidRDefault="003606B6" w:rsidP="00093B7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Analiza wolumetryczna wewnątrzczaszkowa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7D" w:rsidRPr="00966DD8" w:rsidRDefault="00093B7D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Podstawowe licencje konsoli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postprocessingowej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na konsoli operatorskiej (Viewer MR, rekonstrukcje 3D MPR, 3D MIP, 3D SSD).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Filtr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</w:rPr>
              <w:t>obrazów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Praca</w:t>
            </w:r>
            <w:proofErr w:type="spellEnd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966DD8">
              <w:rPr>
                <w:rFonts w:ascii="Arial Narrow" w:hAnsi="Arial Narrow" w:cs="Arial"/>
                <w:bCs/>
                <w:sz w:val="20"/>
                <w:szCs w:val="20"/>
              </w:rPr>
              <w:t>sieci</w:t>
            </w:r>
            <w:proofErr w:type="spellEnd"/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SEND / RECEIVE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QUERY / RETRIEVE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DICOM PRINT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Storage Commitment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Modality Worklist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</w:rPr>
              <w:t>DICOM 3.0 – MPPS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Konsola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diagnostyczna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– 3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stanowiska</w:t>
            </w:r>
            <w:proofErr w:type="spellEnd"/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Serwer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postprocessingowy</w:t>
            </w:r>
            <w:proofErr w:type="spellEnd"/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Rozbudowa serwera aplikacyjnego posiadanego przez zamawiającego  lub dostarczenie nowego serwera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postpocessingowego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Licencja na w sumie 10 jednocześnie pracujących użytkowników (w ramach sieci szpitalnej).</w:t>
            </w:r>
          </w:p>
          <w:p w:rsidR="00093B7D" w:rsidRPr="00400B9D" w:rsidRDefault="00093B7D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 xml:space="preserve">Zamawiający posiada serwer Siemens </w:t>
            </w:r>
            <w:proofErr w:type="spellStart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Syngo</w:t>
            </w:r>
            <w:proofErr w:type="spellEnd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 xml:space="preserve"> Via </w:t>
            </w:r>
            <w:proofErr w:type="spellStart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wersia</w:t>
            </w:r>
            <w:proofErr w:type="spellEnd"/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 xml:space="preserve"> oprogramowania: VB10B</w:t>
            </w:r>
          </w:p>
          <w:p w:rsidR="0092489E" w:rsidRPr="00400B9D" w:rsidRDefault="0092489E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Dostarczony serwer musi spełniać minimalne parametry:</w:t>
            </w:r>
          </w:p>
          <w:p w:rsidR="0092489E" w:rsidRPr="00400B9D" w:rsidRDefault="0092489E" w:rsidP="0092489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Pamięć ram 96 GB</w:t>
            </w:r>
          </w:p>
          <w:p w:rsidR="0092489E" w:rsidRPr="0092489E" w:rsidRDefault="0092489E" w:rsidP="0092489E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00B9D">
              <w:rPr>
                <w:rFonts w:ascii="Arial Narrow" w:hAnsi="Arial Narrow"/>
                <w:sz w:val="20"/>
                <w:szCs w:val="20"/>
                <w:lang w:val="pl-PL"/>
              </w:rPr>
              <w:t>Pojemność macierzy danych obrazowych 4.5 TB netto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Serwer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postpocessingowy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musi być wyposażony w aplikacje obecnie używane w ramach istniejącego rozwiązania, oraz spełniać wszystkie poniższe wymagania.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Obecnie używane aplikacje kliniczne: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oceny perfuzji mózgu w CT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Aplikacja służąca do planowania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stentów</w:t>
            </w:r>
            <w:proofErr w:type="spellEnd"/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służąca do zaawansowanej analizy naczyniowej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CT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Calcium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Scoring</w:t>
            </w:r>
            <w:proofErr w:type="spellEnd"/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Cardiac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Plaque</w:t>
            </w:r>
            <w:proofErr w:type="spellEnd"/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Zaawansowane analizy kardiologiczne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analizy i segmentacji wątroby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COPD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automatycznej analizy guzków płucnych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- Aplikacja do analizy wirtualnej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kolonoskopi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wraz z algorytmem oczyszczania jelit z środków cieniujących, resztek kału i płynów.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 Aplikacja do śledzenia progresji zmian nowotworowych w oparciu o obrazy różnych modalności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782DF2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Każdy z użytkowników jednocześnie pracujących na serwerze musi mieć dostęp do wszystkich aplikacji klinicznych w tym samym czasie, np. </w:t>
            </w:r>
            <w:r w:rsidR="00782DF2" w:rsidRPr="00966DD8">
              <w:rPr>
                <w:rFonts w:ascii="Arial Narrow" w:hAnsi="Arial Narrow"/>
                <w:sz w:val="20"/>
                <w:szCs w:val="20"/>
                <w:lang w:val="pl-PL"/>
              </w:rPr>
              <w:t>4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użytkowników wykonuje jednocześnie analizę funkcji lewej komory serca.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Opcja automatycznego wyszukiwania i importu badań archiwalnych pacjenta w oparciu o ustalony schemat (czas i rodzaj wykonanego badania) na potrzeby porównania z badaniem bieżącym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Analiza bieżących badań diagnostycznych CT/MR (z aparatów różnych producentów) oraz wczytywanych z serwera PACS i z płyt przynoszonych przez pacjentów.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093B7D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Licencjonowane oprogramowanie antywirusowe z opcją Firewall 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/>
                <w:bCs/>
                <w:sz w:val="20"/>
                <w:szCs w:val="20"/>
                <w:lang w:val="pl-PL"/>
              </w:rPr>
              <w:t>Platforma sprzętowa stacji roboczej – 3 komplety</w:t>
            </w: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Liczba obrazów archiwizowanych na HD z matrycą 512 x 512 bez kompresji minimum 100 000 obrazów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Nagrywarka do archiwizacji obrazów DVD lub Blu-ray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Praca konsoli diagnostycznej po wyłączeniu konsoli podstawowej (operatorskiej) i komputera aparatu MR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AF3ECD">
        <w:trPr>
          <w:cantSplit/>
          <w:trHeight w:val="354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bCs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Monitor medyczny multimodalny diagnostyczny o minimalnych parametrach:</w:t>
            </w:r>
          </w:p>
          <w:p w:rsidR="001E36B8" w:rsidRPr="00966DD8" w:rsidRDefault="001E36B8" w:rsidP="00410594">
            <w:pPr>
              <w:rPr>
                <w:rFonts w:ascii="Arial Narrow" w:hAnsi="Arial Narrow"/>
                <w:bCs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 xml:space="preserve">1. Matryca IPS 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t>2. Przekątna ekranu: 29,8”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3. Rozdzielczość natywna: 4 MP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4. Rozdzielczość: 2560x1600 (tryb krajobrazowy)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5. Kontrast: 1000:1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6. Kąty widzenia: 176/176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7. Jasność maksymalna.: 750 cd/m2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8. Reprodukcja skali szarości: 10-bit</w:t>
            </w:r>
            <w:r w:rsidRPr="00966DD8">
              <w:rPr>
                <w:rFonts w:ascii="Arial Narrow" w:hAnsi="Arial Narrow"/>
                <w:bCs/>
                <w:sz w:val="20"/>
                <w:szCs w:val="20"/>
                <w:lang w:val="pl-PL"/>
              </w:rPr>
              <w:br/>
              <w:t>9. DICOM GDSF 400 cd/m2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 możliwością kalibracji do  DICOM  GSDF 200cd/m2 oraz dodatkowo  z trybem hybrydowym pozwalającym wyświetlić obraz  pochodzący  z rekonstrukcji  3D z charakterystyką  DICOM GSDF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nmonochromatyczny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 charakterystyką  gamma 2.2</w:t>
            </w:r>
          </w:p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AFC" w:rsidRPr="00966DD8" w:rsidRDefault="00224AF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System operacyjny klasy desktop musi spełniać następujące wymagania poprzez wbudowane mechanizmy, bez użycia dodatkowych aplikacji: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1. Dostępne dwa rodzaje graficznego interfejsu użytkownika: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a. Klasyczny, umożliwiający obsługę przy pomocy klawiatury i myszy,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b. Dotykowy umożliwiający sterowanie dotykiem na urządzeniach typu tablet lub monitorach dotykowych,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2. Interfejsy użytkownika dostępne w wielu językach do wyboru w czasie instalacji – w tym Polskim i Angielskim,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3. Zlokalizowane w języku polskim, co najmniej następujące elementy: menu, odtwarzacz multimediów, pomoc, komunikaty systemowe,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4. Wbudowany system pomocy w języku polskim;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5. Graficzne środowisko instalacji i konfiguracji dostępne w języku polskim,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6. Funkcje związane z obsługą komputerów typu tablet, z wbudowanym modułem „uczenia się” pisma użytkownika – obsługa języka polskiego.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7. Funkcjonalność rozpoznawania mowy, pozwalającą na sterowanie komputerem głosowo, wraz z modułem „uczenia się” głosu użytkownika.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9. Możliwość dokonywania aktualizacji i poprawek systemu poprzez mechanizm zarządzany przez administratora systemu Zamawiającego,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10. Dostępność bezpłatnych biuletynów bezpieczeństwa związanych z działaniem systemu operacyjnego,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12. Wbudowane mechanizmy ochrony antywirusowej i przeciw złośliwemu oprogramowaniu z zapewnionymi bezpłatnymi aktualizacjami,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13. Wsparcie dla większości powszechnie używanych urządzeń peryferyjnych (drukarek, urządzeń sieciowych, standardów USB,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Plug&amp;Play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-Fi),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14. Funkcjonalność automatycznej zmiany domyślnej drukarki w zależności od sieci, do której podłączony jest komputer,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15. Możliwość zarządzania stacją roboczą poprzez polityki grupowe – przez politykę rozumiemy zestaw reguł definiujących lub ograniczających funkcjonalność systemu lub aplikacji,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16. Rozbudowane, definiowalne polityki bezpieczeństwa – polityki dla systemu operacyjnego i dla wskazanych aplikacji,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 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18. Zabezpieczony hasłem hierarchiczny dostęp do systemu, konta i profile użytkowników zarządzane zdalnie; praca systemu w trybie ochrony kont użytkowników.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19. Mechanizm pozwalający użytkownikowi zarejestrowanego w systemie przedsiębiorstwa/instytucji urządzenia na uprawniony dostęp do zasobów tego systemu.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20.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21. Zintegrowany z systemem operacyjnym moduł synchronizacji komputera z urządzeniami zewnętrznymi. 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22.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Obsługa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standardu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NFC (near field communication),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23. Możliwość przystosowania stanowiska dla osób niepełnosprawnych (np. słabo widzących);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24. Wsparcie dla IPSEC oparte na politykach – wdrażanie IPSEC oparte na zestawach reguł definiujących ustawienia zarządzanych w sposób centralny;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25. Automatyczne występowanie i używanie (wystawianie) certyfikatów PKI X.509;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26. Mechanizmy logowania do domeny w oparciu o: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a. Login i hasło,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b. Karty z certyfikatami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smartcard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c. Wirtualne karty (logowanie w oparciu o certyfikat chroniony poprzez moduł TPM),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27. Mechanizmy wieloelementowego uwierzytelniania.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28. Wsparcie dla uwierzytelniania na bazie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Kerberos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v. 5,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29. Wsparcie do uwierzytelnienia urządzenia na bazie certyfikatu,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30. Wsparcie dla algorytmów Suite B (RFC 4869),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31. Wsparcie wbudowanej zapory ogniowej dla Internet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Key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Exchange v. 2 (IKEv2) dla warstwy transportowej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IPsec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, 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32. Wbudowane narzędzia służące do administracji, do wykonywania kopii zapasowych polityk i ich odtwarzania oraz generowania raportów z ustawień polityk;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33. Wsparcie dla środowisk Java i .NET Framework 4.x – możliwość uruchomienia aplikacji działających we wskazanych środowiskach,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34. Wsparcie dla JScript 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VBScript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możliwość uruchamiania interpretera poleceń,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35. Zdalna pomoc i współdzielenie aplikacji – możliwość zdalnego przejęcia sesji zalogowanego użytkownika celem rozwiązania problemu z komputerem,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36. 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37. Rozwiązanie ma umożliwiające wdrożenie nowego obrazu poprzez zdalną instalację,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38. Transakcyjny system plików pozwalający na stosowanie przydziałów (ang.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quota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 na dysku dla użytkowników oraz zapewniający większą niezawodność i pozwalający tworzyć kopie zapasowe,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39. Zarządzanie kontami użytkowników sieci oraz urządzeniami sieciowymi tj. drukarki, modemy, woluminy dyskowe, usługi katalogowe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40. Udostępnianie modemu,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41. Oprogramowanie dla tworzenia kopii zapasowych (Backup); automatyczne wykonywanie kopii plików z możliwością automatycznego przywrócenia wersji wcześniejszej,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42. Możliwość przywracania obrazu plików systemowych do uprzednio zapisanej postaci,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43. 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44. Możliwość blokowania lub dopuszczania dowolnych urządzeń peryferyjnych za pomocą polityk grupowych (np. przy użyciu numerów identyfikacyjnych sprzętu),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45. Wbudowany mechanizm wirtualizacji typu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hypervisor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, umożliwiający, zgodnie z uprawnieniami licencyjnymi, uruchomienie do 4 maszyn wirtualnych,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46. Mechanizm szyfrowania dysków wewnętrznych i zewnętrznych z możliwością szyfrowania ograniczonego do danych użytkownika,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47. Wbudowane w system narzędzie do szyfrowania partycji systemowych komputera, z możliwością przechowywania certyfikatów w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mikrochipie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TPM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Trusted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Platform Module) w wersji minimum 1.2 lub na kluczach pamięci przenośnej USB.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48. Wbudowane w system narzędzie do szyfrowania dysków przenośnych, z możliwością centralnego zarządzania poprzez polityki grupowe, pozwalające na wymuszenie szyfrowania dysków przenośnych</w:t>
            </w:r>
          </w:p>
          <w:p w:rsidR="00742C09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49. Możliwość tworzenia i przechowywania kopii zapasowych kluczy odzyskiwania do szyfrowania partycji w usługach katalogowych.</w:t>
            </w:r>
          </w:p>
          <w:p w:rsidR="00224AFC" w:rsidRPr="00966DD8" w:rsidRDefault="00742C0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50. Możliwość instalowania dodatkowych języków interfejsu systemu operacyjnego oraz możliwość zmiany języka bez konieczności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reinstalacji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systemu.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AFC" w:rsidRPr="00966DD8" w:rsidRDefault="00224AFC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Praca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sieci</w:t>
            </w:r>
            <w:proofErr w:type="spellEnd"/>
          </w:p>
        </w:tc>
      </w:tr>
      <w:tr w:rsidR="00966DD8" w:rsidRPr="00966DD8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SEND / RECEIVE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QUERY / RETRIEVE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DICOM PRINT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DICOM 3.0 – Storage Commitment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Oprogramowanie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konsol</w:t>
            </w:r>
            <w:proofErr w:type="spellEnd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bCs/>
                <w:sz w:val="20"/>
                <w:szCs w:val="20"/>
              </w:rPr>
              <w:t>diagnostycznych</w:t>
            </w:r>
            <w:proofErr w:type="spellEnd"/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Pomiary geometryczne (odległości, kąty, powierzchnie, objętości)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Pomiary analityczne: intensywność sygnału, profile, histogramy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MPR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MIP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Rekonstrukcje 3D (powierzchniowe i objętościowe) (SSD, VRT)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Możliwość nakładania na siebie obrazów CT, MR, NM, PET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Analiza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wyników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badań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fMRI:</w:t>
            </w: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Tworzenie map t-test (automatycznie, w czasie rzeczywistym) na konsoli podstawowej (automatycznie, w czasie rzeczywistym) 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postprocessingowej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(w trybie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offline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Nakładanie kolorowych map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pobudzeń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na obrazy morfologiczne w 2D.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1"/>
                <w:numId w:val="4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Analiza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badań</w:t>
            </w:r>
            <w:proofErr w:type="spellEnd"/>
            <w:r w:rsidRPr="00966DD8">
              <w:rPr>
                <w:rFonts w:ascii="Arial Narrow" w:hAnsi="Arial Narrow"/>
                <w:b/>
                <w:sz w:val="20"/>
                <w:szCs w:val="20"/>
              </w:rPr>
              <w:t xml:space="preserve"> DTI:</w:t>
            </w: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Oprogramowanie do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postprocessingu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badań DTI obejmujące m.in. prezentację obrazów 2D, 3D i z kodowaniem kolorów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DTI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traktografia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na konsoli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postprocessingowej</w:t>
            </w:r>
            <w:proofErr w:type="spellEnd"/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Analiza wyników spektroskopii MR, 2D, 3D, CSI, Single, Multi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Oprogramowanie do łączenia poszczególnych obrazów z badań całego ciała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whole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body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imaging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 w jeden obraz całego pacjenta funkcjonujące w sposób automatyczny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Inlinecomposing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lub odpowiednio do nomenklatury producenta)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Oprogramowanie do automatycznej segmentacji i separacji naczyń tętniczych i żylnych przy badaniach angiograficznych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VesselViewArtery-VeinSeparation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lub odpowiednio do nomenklatury producenta)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Oprogramowanie do fuzji obrazów z tomografii komputerowej, rezonansu magnetycznego, medycyny nuklearnej i PET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Oprogramowanie do oceny zmian ogniskowych w obrębie wątroby i innych narządów miąższowych, umożliwiające porównania zmiany z poprzednim badaniem PET/CT, SPECT/CT, MR i CT, automatyczną segmentację zmian wraz ze śledzeniem trendów rozwoju zmian w czasie w oparciu o kryteria RECIST, WHO i PERCIST.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Oprogramowanie do efektywnej oceny badań onkologicznych z możliwością automatycznej  segmentacji zmiany, możliwością porównywania wielu badań tego samego pacjenta jednocześnie, wraz z synchronizacją przestrzenną badań,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Ilościowa analiza badań perfuzji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neuro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), a w szczególności kalkulacja i prezentacja w kolorze następujących wskaźników: TTP (Time–to-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Peak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),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relMTT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relative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Mean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Transit Time),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relCBV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relative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Cerebral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Blood Volume),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relCBF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relative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Cerebral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Blood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Flow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10594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WYMAGANIA  INNE</w:t>
            </w: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Zestaw fantomów do kalibracji systemu MR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Fantom umożliwiający kalibrację metody ilościowej 1HMRS/CSI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DF7376">
        <w:trPr>
          <w:cantSplit/>
          <w:trHeight w:val="117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868" w:rsidRPr="00966DD8" w:rsidRDefault="001B28CD" w:rsidP="005958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Zintegrowanie</w:t>
            </w:r>
            <w:r w:rsidR="00595868">
              <w:rPr>
                <w:rFonts w:ascii="Arial Narrow" w:hAnsi="Arial Narrow"/>
                <w:sz w:val="20"/>
                <w:szCs w:val="20"/>
                <w:lang w:val="pl-PL"/>
              </w:rPr>
              <w:t xml:space="preserve"> systemu MR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z s</w:t>
            </w:r>
            <w:r w:rsidR="001E36B8" w:rsidRPr="00966DD8">
              <w:rPr>
                <w:rFonts w:ascii="Arial Narrow" w:hAnsi="Arial Narrow"/>
                <w:sz w:val="20"/>
                <w:szCs w:val="20"/>
                <w:lang w:val="pl-PL"/>
              </w:rPr>
              <w:t>ieciow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>ą</w:t>
            </w:r>
            <w:r w:rsidR="001E36B8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drukark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>ą kolorową</w:t>
            </w:r>
            <w:r w:rsidR="00595868">
              <w:rPr>
                <w:rFonts w:ascii="Arial Narrow" w:hAnsi="Arial Narrow"/>
                <w:sz w:val="20"/>
                <w:szCs w:val="20"/>
                <w:lang w:val="pl-PL"/>
              </w:rPr>
              <w:t xml:space="preserve"> posiadaną przez zamawiającego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. </w:t>
            </w:r>
          </w:p>
          <w:p w:rsidR="001E36B8" w:rsidRPr="00966DD8" w:rsidRDefault="00595868" w:rsidP="002F188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Posiadana drukarka: RICOH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pl-PL"/>
              </w:rPr>
              <w:t>Afico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MP c305spf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Instrukcja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obsługi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przedmiotu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w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języku</w:t>
            </w:r>
            <w:r w:rsidRPr="00966DD8">
              <w:rPr>
                <w:rFonts w:ascii="Arial Narrow" w:eastAsia="Times New Roman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polskim (1szt. pa</w:t>
            </w:r>
            <w:r w:rsidR="00DA56A8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pierowa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 xml:space="preserve"> i 1szt. w wersji elektronicznej na płycie CD dołączona do oferty)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Uzupełnienie helu w magnesie do poziomu minimum 85% przed przekazaniem uruchomionego aparatu zamawiającemu (w cenie oferty)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2F1887">
        <w:trPr>
          <w:cantSplit/>
          <w:trHeight w:val="97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Wykonawca  dokona wymaganych pomiarów pola elekromagnetycznego dostarczy Zamawiającemu plan pomieszczenia wraz z zaznaczonymi strefami oraz dokona oznakowania stref w całej Pracowni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2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Oświadczamy,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że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jest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kompletny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będzie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gotowy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do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pracy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zgodnie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z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instrukcją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obsługi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bez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żadnych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dodatkowych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zakupów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Wszelkie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materiały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informacyjne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na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temat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przedmiotu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min.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prospekty,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broszury,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dane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techniczne,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itp.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w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języku polskim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Przedmiot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oferty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będzie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fabrycznie</w:t>
            </w:r>
            <w:r w:rsidRPr="00966DD8">
              <w:rPr>
                <w:rFonts w:ascii="Arial Narrow" w:eastAsia="Arial Narrow" w:hAnsi="Arial Narrow" w:cs="Arial Narrow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 Narrow"/>
                <w:sz w:val="20"/>
                <w:szCs w:val="20"/>
                <w:lang w:val="pl-PL"/>
              </w:rPr>
              <w:t>nowy (nie powystawowy, nie regenerowany)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5E58EE">
        <w:trPr>
          <w:cantSplit/>
          <w:trHeight w:val="368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742C09">
            <w:pPr>
              <w:spacing w:before="100" w:after="100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Szkolenie techniczno-aplikacyjne w miejscu instalacji dla  lekarzy i  techników, potwierdzone odpowiednim dokumentem. 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>W wymiarze</w:t>
            </w:r>
            <w:r w:rsidR="00742C09" w:rsidRPr="00966DD8">
              <w:rPr>
                <w:rFonts w:ascii="Arial Narrow" w:hAnsi="Arial Narrow"/>
                <w:sz w:val="20"/>
                <w:szCs w:val="20"/>
              </w:rPr>
              <w:t xml:space="preserve"> min. </w:t>
            </w:r>
            <w:r w:rsidR="00FF5229" w:rsidRPr="00966DD8">
              <w:rPr>
                <w:rFonts w:ascii="Arial Narrow" w:hAnsi="Arial Narrow"/>
                <w:sz w:val="20"/>
                <w:szCs w:val="20"/>
              </w:rPr>
              <w:t>10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dni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po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2C09" w:rsidRPr="00966DD8">
              <w:rPr>
                <w:rFonts w:ascii="Arial Narrow" w:hAnsi="Arial Narrow"/>
                <w:sz w:val="20"/>
                <w:szCs w:val="20"/>
              </w:rPr>
              <w:t>6</w:t>
            </w:r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godzin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66DD8" w:rsidRPr="00966DD8" w:rsidTr="005E58EE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FF5229" w:rsidP="00410594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Raz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na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3 miesiące liczone od daty uruchomienia aplikacyjne szkolenie przypominające dla lekarzy i techników przez okres trwania gwarancji.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Każde po 2 dni po 6 godzin.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Podłączenie systemu MRI do posiadanego przez zamawiającego systemu rejestracji i archiwizacji (RIS i PACS) obrazów Firmy PIXEL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5E58EE">
        <w:trPr>
          <w:cantSplit/>
          <w:trHeight w:val="3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C0" w:rsidRPr="00966DD8" w:rsidRDefault="00662BC0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C0" w:rsidRPr="00966DD8" w:rsidRDefault="00662BC0" w:rsidP="00331250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Wykonanie </w:t>
            </w:r>
            <w:r w:rsidR="00331250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przebudowy wraz z adaptacją pomieszczeń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zgodnie z programem funkcjonalno-użytkowym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BC0" w:rsidRPr="00966DD8" w:rsidRDefault="00662BC0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1B28CD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B28CD" w:rsidRPr="00966DD8" w:rsidRDefault="00595868" w:rsidP="00595868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r w:rsidRPr="00595868">
              <w:rPr>
                <w:rFonts w:ascii="Arial Narrow" w:hAnsi="Arial Narrow"/>
                <w:sz w:val="20"/>
                <w:szCs w:val="20"/>
                <w:lang w:val="pl-PL"/>
              </w:rPr>
              <w:t>Wyposażenie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95868">
              <w:rPr>
                <w:rFonts w:ascii="Arial Narrow" w:hAnsi="Arial Narrow"/>
                <w:sz w:val="20"/>
                <w:szCs w:val="20"/>
                <w:lang w:val="pl-PL"/>
              </w:rPr>
              <w:t>dodatkowe</w:t>
            </w:r>
          </w:p>
        </w:tc>
      </w:tr>
      <w:tr w:rsidR="001B28CD" w:rsidRPr="00556463" w:rsidTr="001B28CD">
        <w:trPr>
          <w:cantSplit/>
          <w:trHeight w:val="100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Dwugłowicowy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wstrzykiwacz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środka kontrastowego do pracy przy aparatach MR jeżeli wymaga materiałów eksploatacyjnych to taka ilość która pozwoli wykonać 100  badan  </w:t>
            </w:r>
          </w:p>
          <w:p w:rsidR="001B28CD" w:rsidRPr="00966DD8" w:rsidRDefault="001B28CD" w:rsidP="001B28CD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1B28CD" w:rsidRPr="00966DD8" w:rsidTr="001B28CD">
        <w:trPr>
          <w:cantSplit/>
          <w:trHeight w:val="6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Wózek inwalidzki do MR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1B28CD" w:rsidRPr="00556463" w:rsidTr="001B28CD">
        <w:trPr>
          <w:cantSplit/>
          <w:trHeight w:val="6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Respirator transportowy kompletny do pracy w środowisku MR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8CD" w:rsidRPr="00966DD8" w:rsidRDefault="001B28CD" w:rsidP="001B28CD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95868" w:rsidRPr="00556463" w:rsidTr="009A71BD">
        <w:trPr>
          <w:cantSplit/>
          <w:trHeight w:val="34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numPr>
                <w:ilvl w:val="0"/>
                <w:numId w:val="2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spacing w:before="100" w:after="100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System monitorowania pacjenta (dorośli i dzieci  EKG, puls, oddech, ciśnienie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>) sposób przewodowy lub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bezprzewodowy kompletny do używania 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w środowisku MR,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jeżeli wymaga materiałów </w:t>
            </w:r>
            <w:r w:rsidRPr="00FD6434">
              <w:rPr>
                <w:rFonts w:ascii="Arial Narrow" w:hAnsi="Arial Narrow"/>
                <w:sz w:val="20"/>
                <w:szCs w:val="20"/>
                <w:lang w:val="pl-PL"/>
              </w:rPr>
              <w:t xml:space="preserve">eksploatacyjnych to taka ilość która pozwoli wykonać 100  badan 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95868" w:rsidRPr="00556463" w:rsidTr="009A71BD">
        <w:trPr>
          <w:cantSplit/>
          <w:trHeight w:hRule="exact" w:val="72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Dwuletnia licencja do bazy danych przypadków radiologicznych  „</w:t>
            </w:r>
            <w:proofErr w:type="spellStart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Statdx</w:t>
            </w:r>
            <w:proofErr w:type="spellEnd"/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” dla 10 użytkowników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595868" w:rsidRPr="00966DD8" w:rsidTr="009A71BD">
        <w:trPr>
          <w:cantSplit/>
          <w:trHeight w:hRule="exact" w:val="870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Dostarczenie  wskazanej literatury radiologicznej :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1.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Radiology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Illustrated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Hepatobiliary and Pancreatic Radiology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Choi,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Bgung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Ihn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(Ed)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Wydawca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2. Imaging in Clinical Oncology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Gouliamos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Athanassions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Andreon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Kosmidis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, Paris (Eds.).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Wydawca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3. Clinical MRI of the Abdomen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Gourtsoyiannis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,  Nicholas c.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4. Functional Brain Tumor Imaging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Autor –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Jay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J.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Pillai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Wydawnictwa – Springer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5. Functional Neuroradiology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Scott H.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Favo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Feroze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B. Mohamed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Meng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Law, John T. Ulmer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Springer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6. Diagnostic Imaging - Abdomen – 2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ed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Federle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Michael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Wydawinictwo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Amirsys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7. Diagnostic Imaging – Chest – 2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ed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 xml:space="preserve">Autor -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Rosado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– de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Christenson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Melissa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Wydawnictwo (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Amirsys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8. Diagnostyka Obrazowa: głowa i szyja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H.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Ric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Harnsberger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medipage.pl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9. Diagnostyka obrazowa- Układ mięśniowo-szkieletowy. Urazy.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Autor – A. Sonin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</w:rPr>
            </w:pPr>
            <w:r w:rsidRPr="00966DD8">
              <w:rPr>
                <w:rFonts w:ascii="Arial Narrow" w:hAnsi="Arial Narrow"/>
                <w:sz w:val="20"/>
                <w:szCs w:val="20"/>
              </w:rPr>
              <w:t>10. Diagnostyka obrazowa. Układ mięśniowo-szkieletowy (choroby nieurazowe)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B.J.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Manaster</w:t>
            </w:r>
            <w:proofErr w:type="spellEnd"/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11. Diagnostic Imaging Spine – 2nd Edition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Ross, Moore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12.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Neuradiology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: The Requisites – 4th Edition</w:t>
            </w:r>
          </w:p>
          <w:p w:rsidR="00595868" w:rsidRPr="00966DD8" w:rsidRDefault="00595868" w:rsidP="009A71BD">
            <w:pPr>
              <w:pStyle w:val="Standard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Autor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 – R.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Nadgir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 xml:space="preserve">, David M.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  <w:lang w:val="en-US"/>
              </w:rPr>
              <w:t>Yousem</w:t>
            </w:r>
            <w:proofErr w:type="spellEnd"/>
          </w:p>
          <w:p w:rsidR="00595868" w:rsidRPr="00966DD8" w:rsidRDefault="00595868" w:rsidP="009A71B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68" w:rsidRPr="00966DD8" w:rsidRDefault="00595868" w:rsidP="009A71B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966DD8" w:rsidRPr="00966DD8" w:rsidTr="001E36B8">
        <w:trPr>
          <w:cantSplit/>
          <w:trHeight w:val="28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966DD8" w:rsidRDefault="001E36B8" w:rsidP="004370B3">
            <w:pPr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Warunki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66DD8">
              <w:rPr>
                <w:rFonts w:ascii="Arial Narrow" w:hAnsi="Arial Narrow"/>
                <w:sz w:val="20"/>
                <w:szCs w:val="20"/>
              </w:rPr>
              <w:t>gwarancji</w:t>
            </w:r>
            <w:proofErr w:type="spellEnd"/>
            <w:r w:rsidRPr="00966D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370B3" w:rsidRPr="00966DD8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966DD8" w:rsidRPr="00966DD8" w:rsidTr="00FF5229">
        <w:trPr>
          <w:cantSplit/>
          <w:trHeight w:hRule="exact" w:val="482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Długość udzielanej gwarancji 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>24 miesiące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D57047">
        <w:trPr>
          <w:cantSplit/>
          <w:trHeight w:hRule="exact" w:val="7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Okres gwarancji będzie liczony od daty uruchomienia sprzętu </w:t>
            </w:r>
            <w:r w:rsidR="00D57047">
              <w:rPr>
                <w:rFonts w:ascii="Arial Narrow" w:hAnsi="Arial Narrow"/>
                <w:sz w:val="20"/>
                <w:szCs w:val="20"/>
                <w:lang w:val="pl-PL"/>
              </w:rPr>
              <w:t xml:space="preserve">w siedzibie Zamawiającego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(podpisanie ostatecznego protokołu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 uruchomienia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)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6263A0" w:rsidRPr="00556463" w:rsidTr="00D57047">
        <w:trPr>
          <w:cantSplit/>
          <w:trHeight w:hRule="exact" w:val="7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3A0" w:rsidRPr="00966DD8" w:rsidRDefault="006263A0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3A0" w:rsidRPr="00966DD8" w:rsidRDefault="006263A0" w:rsidP="00742C09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Wszystkie naprawy gwarancyjne wykonywane będą przez autoryzowany serwis producenta z użyciem oryginalnych części.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3A0" w:rsidRPr="00966DD8" w:rsidRDefault="006263A0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742C09">
        <w:trPr>
          <w:cantSplit/>
          <w:trHeight w:hRule="exact" w:val="855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106AE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Czas  naprawy nie dłuższy niż 5 dni roboczych tj. od poniedziałku do piątku z wyłączeniem dni ustawowo wolnych od pracy liczony od dnia zgłoszenia usterki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742C09">
        <w:trPr>
          <w:cantSplit/>
          <w:trHeight w:hRule="exact" w:val="71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106AE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Telefoniczny „Helpdesk” aplikacyjny przez cały okres trwania gwarancji w dni robocze od godziny 9 do 14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FF5229">
        <w:trPr>
          <w:cantSplit/>
          <w:trHeight w:hRule="exact" w:val="560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FF5229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Awarie przyjmowanie będą telefonicznie lu</w:t>
            </w:r>
            <w:r w:rsidR="00742C0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b mailowo w dni robocze od 8 do 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15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FF5229">
        <w:trPr>
          <w:cantSplit/>
          <w:trHeight w:hRule="exact" w:val="560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4370B3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Gwarancja obejmuje</w:t>
            </w:r>
            <w:r w:rsidR="00FF5229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utrzymanie helu na poziomie co najmniej 70%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229" w:rsidRPr="00966DD8" w:rsidRDefault="00FF522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0A02F7">
        <w:trPr>
          <w:cantSplit/>
          <w:trHeight w:hRule="exact" w:val="709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0A02F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Bezpłatne przeglądy okresowe</w:t>
            </w:r>
            <w:r w:rsidR="000A02F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zgodnie z zaleceniami producenta, wykonawca załączy wspomniane zalecenia do protokołu dostawy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0A02F7">
        <w:trPr>
          <w:cantSplit/>
          <w:trHeight w:hRule="exact" w:val="564"/>
        </w:trPr>
        <w:tc>
          <w:tcPr>
            <w:tcW w:w="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0A02F7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Dostawca poda serwisy autoryzowane na terenie Polski</w:t>
            </w:r>
            <w:r w:rsidR="000A02F7" w:rsidRPr="00966DD8">
              <w:rPr>
                <w:rFonts w:ascii="Arial Narrow" w:hAnsi="Arial Narrow"/>
                <w:sz w:val="20"/>
                <w:szCs w:val="20"/>
                <w:lang w:val="pl-PL"/>
              </w:rPr>
              <w:t>,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="000A02F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wykonawca załączy wspomniany wykaz do protokołu dostawy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FF5229">
        <w:trPr>
          <w:cantSplit/>
          <w:trHeight w:hRule="exact" w:val="120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numPr>
                <w:ilvl w:val="0"/>
                <w:numId w:val="2"/>
              </w:numPr>
              <w:ind w:left="0" w:right="-398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Liczba napraw gwarancyjnych tego samego podzespołu uprawniająca do wymiany tego podzespołu oraz podzespołów bezpośrednio mających wpływ na jego funkcjonowanie na nowe (nie więcej niż 3)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C53E97">
        <w:trPr>
          <w:cantSplit/>
          <w:trHeight w:hRule="exact" w:val="9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895545">
            <w:pPr>
              <w:numPr>
                <w:ilvl w:val="0"/>
                <w:numId w:val="7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514" w:rsidRPr="004C0514" w:rsidRDefault="004C0514" w:rsidP="00C53E9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53E97">
              <w:rPr>
                <w:rFonts w:ascii="Arial Narrow" w:hAnsi="Arial Narrow"/>
                <w:sz w:val="20"/>
                <w:szCs w:val="20"/>
                <w:lang w:val="pl-PL"/>
              </w:rPr>
              <w:t>Dostawca wskaże serwis gwarancyjny i pogwarancyjny dostarczonego sprzętu i załączy do oferty oświadczenie tegoż serwisu o</w:t>
            </w:r>
            <w:r w:rsidR="006263A0" w:rsidRPr="00C53E97">
              <w:rPr>
                <w:rFonts w:ascii="Arial Narrow" w:hAnsi="Arial Narrow"/>
                <w:sz w:val="20"/>
                <w:szCs w:val="20"/>
                <w:lang w:val="pl-PL"/>
              </w:rPr>
              <w:t xml:space="preserve"> posiadaniu</w:t>
            </w:r>
            <w:r w:rsidRPr="00C53E97">
              <w:rPr>
                <w:rFonts w:ascii="Arial Narrow" w:hAnsi="Arial Narrow"/>
                <w:sz w:val="20"/>
                <w:szCs w:val="20"/>
                <w:lang w:val="pl-PL"/>
              </w:rPr>
              <w:t xml:space="preserve"> autoryzacji producenta</w:t>
            </w:r>
            <w:r w:rsidR="00C53E97" w:rsidRPr="00C53E97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966DD8" w:rsidRDefault="001E36B8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0A02F7">
        <w:trPr>
          <w:cantSplit/>
          <w:trHeight w:hRule="exact" w:val="63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59" w:rsidRPr="00966DD8" w:rsidRDefault="00C56159" w:rsidP="00895545">
            <w:pPr>
              <w:numPr>
                <w:ilvl w:val="0"/>
                <w:numId w:val="7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59" w:rsidRPr="00966DD8" w:rsidRDefault="00C56159" w:rsidP="000A02F7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Dostawca uzyska pozwolenie na użytkowanie pracowni rezonansu magnetycznego  w imieniu zamawiającego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59" w:rsidRPr="00966DD8" w:rsidRDefault="00C56159" w:rsidP="0041059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385802" w:rsidRPr="00966DD8" w:rsidRDefault="00385802" w:rsidP="00385802">
      <w:pPr>
        <w:rPr>
          <w:rFonts w:ascii="Arial Narrow" w:hAnsi="Arial Narrow"/>
          <w:b/>
          <w:szCs w:val="20"/>
          <w:lang w:val="pl-PL"/>
        </w:rPr>
      </w:pPr>
    </w:p>
    <w:p w:rsidR="00385802" w:rsidRPr="00966DD8" w:rsidRDefault="00AF3ECD" w:rsidP="00385802">
      <w:pPr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 xml:space="preserve">Rozdział </w:t>
      </w:r>
      <w:r w:rsidR="00385802" w:rsidRPr="00966DD8">
        <w:rPr>
          <w:rFonts w:ascii="Arial Narrow" w:hAnsi="Arial Narrow"/>
          <w:b/>
          <w:szCs w:val="20"/>
          <w:lang w:val="pl-PL"/>
        </w:rPr>
        <w:t>II</w:t>
      </w:r>
      <w:r>
        <w:rPr>
          <w:rFonts w:ascii="Arial Narrow" w:hAnsi="Arial Narrow"/>
          <w:b/>
          <w:szCs w:val="20"/>
          <w:lang w:val="pl-PL"/>
        </w:rPr>
        <w:t>:</w:t>
      </w:r>
      <w:r w:rsidR="00385802" w:rsidRPr="00966DD8">
        <w:rPr>
          <w:rFonts w:ascii="Arial Narrow" w:hAnsi="Arial Narrow"/>
          <w:b/>
          <w:szCs w:val="20"/>
          <w:lang w:val="pl-PL"/>
        </w:rPr>
        <w:t xml:space="preserve"> Najem magazynu i transport </w:t>
      </w:r>
    </w:p>
    <w:p w:rsidR="00385802" w:rsidRPr="00966DD8" w:rsidRDefault="00385802" w:rsidP="00385802">
      <w:pPr>
        <w:rPr>
          <w:rFonts w:ascii="Arial Narrow" w:hAnsi="Arial Narrow"/>
          <w:b/>
          <w:szCs w:val="20"/>
          <w:lang w:val="pl-PL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4727"/>
        <w:gridCol w:w="3837"/>
      </w:tblGrid>
      <w:tr w:rsidR="00966DD8" w:rsidRPr="00556463" w:rsidTr="00966DD8">
        <w:trPr>
          <w:cantSplit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802" w:rsidRPr="00966DD8" w:rsidRDefault="00385802" w:rsidP="00385802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802" w:rsidRPr="00966DD8" w:rsidRDefault="00385802" w:rsidP="00385802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 w:rsidRPr="00966DD8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Wymagania Zamawiającego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802" w:rsidRPr="00966DD8" w:rsidRDefault="006263A0" w:rsidP="00385802">
            <w:pPr>
              <w:widowControl/>
              <w:suppressAutoHyphens w:val="0"/>
              <w:jc w:val="center"/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 xml:space="preserve"> Potwierdzenie spełnienia wymagania: </w:t>
            </w:r>
            <w:r w:rsidR="00EF72FE">
              <w:rPr>
                <w:rFonts w:ascii="Arial Narrow" w:eastAsia="Times New Roman" w:hAnsi="Arial Narrow" w:cs="Tahoma"/>
                <w:bCs/>
                <w:kern w:val="0"/>
                <w:sz w:val="20"/>
                <w:szCs w:val="20"/>
                <w:lang w:val="pl-PL" w:eastAsia="pl-PL" w:bidi="ar-SA"/>
              </w:rPr>
              <w:t>Tak / Nie</w:t>
            </w:r>
          </w:p>
        </w:tc>
      </w:tr>
      <w:tr w:rsidR="00966DD8" w:rsidRPr="00966DD8" w:rsidTr="00966DD8">
        <w:trPr>
          <w:cantSplit/>
          <w:trHeight w:val="440"/>
        </w:trPr>
        <w:tc>
          <w:tcPr>
            <w:tcW w:w="8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5802" w:rsidRPr="00966DD8" w:rsidRDefault="004467F8" w:rsidP="004467F8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66DD8">
              <w:rPr>
                <w:rFonts w:ascii="Arial Narrow" w:hAnsi="Arial Narrow"/>
                <w:b/>
                <w:sz w:val="20"/>
                <w:szCs w:val="20"/>
              </w:rPr>
              <w:t>Magazyn</w:t>
            </w:r>
            <w:proofErr w:type="spellEnd"/>
          </w:p>
        </w:tc>
      </w:tr>
      <w:tr w:rsidR="00966DD8" w:rsidRPr="00556463" w:rsidTr="00966DD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346" w:rsidRPr="00966DD8" w:rsidRDefault="00476346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346" w:rsidRPr="00966DD8" w:rsidRDefault="00476346" w:rsidP="004467F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Magazyn znajduje się na terenie RP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6346" w:rsidRPr="00966DD8" w:rsidRDefault="00476346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02" w:rsidRPr="00966DD8" w:rsidRDefault="0038580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02" w:rsidRPr="00966DD8" w:rsidRDefault="004467F8" w:rsidP="005F2C3D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Wykonawca załączy d</w:t>
            </w:r>
            <w:r w:rsidR="00A56237" w:rsidRPr="00966DD8">
              <w:rPr>
                <w:rFonts w:ascii="Arial Narrow" w:hAnsi="Arial Narrow"/>
                <w:sz w:val="20"/>
                <w:szCs w:val="20"/>
                <w:lang w:val="pl-PL"/>
              </w:rPr>
              <w:t>okumentacj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e</w:t>
            </w:r>
            <w:r w:rsidR="00A56237"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 fotograficzn</w:t>
            </w: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ą</w:t>
            </w:r>
            <w:r w:rsidR="005F2C3D">
              <w:rPr>
                <w:rFonts w:ascii="Arial Narrow" w:hAnsi="Arial Narrow"/>
                <w:sz w:val="20"/>
                <w:szCs w:val="20"/>
                <w:lang w:val="pl-PL"/>
              </w:rPr>
              <w:t xml:space="preserve"> pomieszczenia magazynu</w:t>
            </w:r>
            <w:r w:rsidR="00A56237" w:rsidRPr="00966DD8">
              <w:rPr>
                <w:rFonts w:ascii="Arial Narrow" w:hAnsi="Arial Narrow"/>
                <w:sz w:val="20"/>
                <w:szCs w:val="20"/>
                <w:lang w:val="pl-PL"/>
              </w:rPr>
              <w:t>j na płycie CD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5802" w:rsidRPr="00966DD8" w:rsidRDefault="0038580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2" w:rsidRPr="00966DD8" w:rsidRDefault="0038580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2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Wykonawca załączy o</w:t>
            </w:r>
            <w:r w:rsidR="00A56237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świadczenie producenta sprzętu że Wynajęta powierzchnia magazynowa spełnia warunki przechowywania 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sprzętu opisanego w rozdziale 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2" w:rsidRPr="00966DD8" w:rsidRDefault="0038580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>Wykonawca załącz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y polisę</w:t>
            </w:r>
            <w:r w:rsidR="007B36A1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potwierdzająca</w:t>
            </w:r>
            <w:r w:rsidR="00A56237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ubezpiec</w:t>
            </w:r>
            <w:r w:rsidR="007B36A1">
              <w:rPr>
                <w:rFonts w:ascii="Arial Narrow" w:hAnsi="Arial Narrow" w:cs="Arial"/>
                <w:sz w:val="20"/>
                <w:szCs w:val="20"/>
                <w:lang w:val="pl-PL"/>
              </w:rPr>
              <w:t>zenie od kradzieży i zniszczenia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>Wykonawca załączy o</w:t>
            </w:r>
            <w:r w:rsidR="00A56237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świadczenie wynajmującego że </w:t>
            </w: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pomieszczenia magazynu </w:t>
            </w:r>
            <w:r w:rsidR="00A56237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>ma</w:t>
            </w:r>
            <w:r w:rsidR="004C0514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ją </w:t>
            </w:r>
            <w:r w:rsidR="00A56237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zapewnioną ochronę</w:t>
            </w:r>
            <w:r w:rsidR="007B36A1"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P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odczas dostawy do wynajmowanego magazynu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a</w:t>
            </w:r>
            <w:r w:rsidR="004467F8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utory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zowany serwis producenta sprzętu dokona podłączenia elementów aparatu  do mediów niezbędnych od ich przechowywania.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37" w:rsidRPr="00966DD8" w:rsidRDefault="00A56237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5F2C3D" w:rsidP="005F2C3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P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odczas </w:t>
            </w:r>
            <w:r w:rsidRPr="005F2C3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odbioru z wynajmowanego magazynu 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a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utory</w:t>
            </w: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zowany serwis producenta sprzętu dokona odłączenia elementów aparatu  od  mediów niezbędnych od ich przechowywania.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966DD8" w:rsidTr="00966DD8">
        <w:trPr>
          <w:cantSplit/>
          <w:trHeight w:val="434"/>
        </w:trPr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6029" w:rsidRPr="00966DD8" w:rsidRDefault="00FF6029" w:rsidP="00FF6029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b/>
                <w:sz w:val="20"/>
                <w:szCs w:val="20"/>
              </w:rPr>
              <w:t>Transport</w:t>
            </w: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467F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Wykonawca zapewni transport składowych aparatu rezonansu magnetycznego od producenta do wynajmowanego magazynu.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467F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Wykonawca zapewni transport składowych aparatu rezonansu magnetycznego od wynajmowanego magazynu do siedziby zamawiającego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91EDD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Wykonawca załączy 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dokumentacje fotograficzna</w:t>
            </w:r>
            <w:r w:rsidR="00491EDD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491EDD">
              <w:rPr>
                <w:rFonts w:ascii="Arial Narrow" w:hAnsi="Arial Narrow" w:cs="Arial"/>
                <w:sz w:val="20"/>
                <w:szCs w:val="20"/>
                <w:lang w:val="pl-PL"/>
              </w:rPr>
              <w:t>umożliwiającą identyfikacje elementów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491EDD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dostawy</w:t>
            </w:r>
            <w:r w:rsidR="00491EDD">
              <w:rPr>
                <w:rFonts w:ascii="Arial Narrow" w:hAnsi="Arial Narrow" w:cs="Arial"/>
                <w:sz w:val="20"/>
                <w:szCs w:val="20"/>
                <w:lang w:val="pl-PL"/>
              </w:rPr>
              <w:t>,</w:t>
            </w:r>
            <w:r w:rsidR="00491EDD"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na płycie CD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4467F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 xml:space="preserve">Wykonawca załączy </w:t>
            </w:r>
            <w:r w:rsidRPr="00966DD8">
              <w:rPr>
                <w:rFonts w:ascii="Arial Narrow" w:hAnsi="Arial Narrow" w:cs="Arial"/>
                <w:sz w:val="20"/>
                <w:szCs w:val="20"/>
                <w:lang w:val="pl-PL"/>
              </w:rPr>
              <w:t>wykaz paczek dostarczonych do magazynu wraz ze wskazaniem zawartości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F8" w:rsidRPr="00966DD8" w:rsidRDefault="004467F8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A604B2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Transport  realizowany będzie odpowiednim środkiem transportu, gwarantującym zachowanie właściwej jakości oraz warunków dla przewożonego urządzenia.</w:t>
            </w:r>
          </w:p>
          <w:p w:rsidR="00A604B2" w:rsidRPr="00966DD8" w:rsidRDefault="00A604B2" w:rsidP="00A604B2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6DD8" w:rsidRPr="00556463" w:rsidTr="00966DD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A56237">
            <w:pPr>
              <w:pStyle w:val="Akapitzlist"/>
              <w:numPr>
                <w:ilvl w:val="0"/>
                <w:numId w:val="11"/>
              </w:numPr>
              <w:ind w:right="-398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4467F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966DD8">
              <w:rPr>
                <w:rFonts w:ascii="Arial Narrow" w:hAnsi="Arial Narrow"/>
                <w:sz w:val="20"/>
                <w:szCs w:val="20"/>
                <w:lang w:val="pl-PL"/>
              </w:rPr>
              <w:t>Wykonawca ponosi ryzyko przypadkowego uszkodzenia lub utraty dostarczanego urządzenia w transporcie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B2" w:rsidRPr="00966DD8" w:rsidRDefault="00A604B2" w:rsidP="00385802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FF6029" w:rsidRPr="00966DD8" w:rsidRDefault="00FF6029" w:rsidP="00385802">
      <w:pPr>
        <w:rPr>
          <w:rFonts w:ascii="Arial Narrow" w:hAnsi="Arial Narrow"/>
          <w:b/>
          <w:szCs w:val="20"/>
          <w:lang w:val="pl-PL"/>
        </w:rPr>
      </w:pPr>
    </w:p>
    <w:p w:rsidR="00385802" w:rsidRPr="00966DD8" w:rsidRDefault="00AF3ECD" w:rsidP="00385802">
      <w:pPr>
        <w:rPr>
          <w:rFonts w:ascii="Arial Narrow" w:hAnsi="Arial Narrow"/>
          <w:b/>
          <w:szCs w:val="20"/>
          <w:lang w:val="pl-PL"/>
        </w:rPr>
      </w:pPr>
      <w:r>
        <w:rPr>
          <w:rFonts w:ascii="Arial Narrow" w:hAnsi="Arial Narrow"/>
          <w:b/>
          <w:szCs w:val="20"/>
          <w:lang w:val="pl-PL"/>
        </w:rPr>
        <w:t xml:space="preserve">Rozdział </w:t>
      </w:r>
      <w:r w:rsidRPr="00966DD8">
        <w:rPr>
          <w:rFonts w:ascii="Arial Narrow" w:hAnsi="Arial Narrow"/>
          <w:b/>
          <w:szCs w:val="20"/>
          <w:lang w:val="pl-PL"/>
        </w:rPr>
        <w:t>II</w:t>
      </w:r>
      <w:r>
        <w:rPr>
          <w:rFonts w:ascii="Arial Narrow" w:hAnsi="Arial Narrow"/>
          <w:b/>
          <w:szCs w:val="20"/>
          <w:lang w:val="pl-PL"/>
        </w:rPr>
        <w:t>I:</w:t>
      </w:r>
      <w:r w:rsidRPr="00966DD8">
        <w:rPr>
          <w:rFonts w:ascii="Arial Narrow" w:hAnsi="Arial Narrow"/>
          <w:b/>
          <w:szCs w:val="20"/>
          <w:lang w:val="pl-PL"/>
        </w:rPr>
        <w:t xml:space="preserve"> </w:t>
      </w:r>
      <w:r w:rsidR="00385802" w:rsidRPr="00966DD8">
        <w:rPr>
          <w:rFonts w:ascii="Arial Narrow" w:hAnsi="Arial Narrow"/>
          <w:b/>
          <w:szCs w:val="20"/>
          <w:lang w:val="pl-PL"/>
        </w:rPr>
        <w:t>Serwis pogwarancyjny rezonansu magnetycznego przez okres 15 miesięcy.</w:t>
      </w:r>
    </w:p>
    <w:p w:rsidR="00385802" w:rsidRPr="00966DD8" w:rsidRDefault="00385802">
      <w:pPr>
        <w:rPr>
          <w:rFonts w:ascii="Arial Narrow" w:hAnsi="Arial Narrow"/>
          <w:sz w:val="20"/>
          <w:szCs w:val="20"/>
          <w:lang w:val="pl-PL"/>
        </w:rPr>
      </w:pPr>
    </w:p>
    <w:tbl>
      <w:tblPr>
        <w:tblStyle w:val="Tabela-Siatka"/>
        <w:tblW w:w="8931" w:type="dxa"/>
        <w:tblLook w:val="04A0" w:firstRow="1" w:lastRow="0" w:firstColumn="1" w:lastColumn="0" w:noHBand="0" w:noVBand="1"/>
      </w:tblPr>
      <w:tblGrid>
        <w:gridCol w:w="462"/>
        <w:gridCol w:w="4652"/>
        <w:gridCol w:w="3817"/>
      </w:tblGrid>
      <w:tr w:rsidR="00966DD8" w:rsidRPr="00556463" w:rsidTr="00AF3ECD">
        <w:trPr>
          <w:trHeight w:val="300"/>
        </w:trPr>
        <w:tc>
          <w:tcPr>
            <w:tcW w:w="8931" w:type="dxa"/>
            <w:gridSpan w:val="3"/>
            <w:shd w:val="clear" w:color="auto" w:fill="BFBFBF" w:themeFill="background1" w:themeFillShade="BF"/>
            <w:hideMark/>
          </w:tcPr>
          <w:p w:rsidR="00966DD8" w:rsidRPr="00966DD8" w:rsidRDefault="00966DD8" w:rsidP="00966DD8">
            <w:pPr>
              <w:jc w:val="center"/>
              <w:rPr>
                <w:rFonts w:ascii="Arial Narrow" w:eastAsia="Times New Roman" w:hAnsi="Arial Narrow" w:cs="Times New Roman"/>
                <w:b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lang w:val="pl-PL" w:eastAsia="pl-PL"/>
              </w:rPr>
              <w:t>Obsługa serwisowa rezonansu magnetycznego przez okres 15 m-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lang w:val="pl-PL" w:eastAsia="pl-PL"/>
              </w:rPr>
              <w:t>cy</w:t>
            </w:r>
            <w:proofErr w:type="spellEnd"/>
          </w:p>
        </w:tc>
      </w:tr>
      <w:tr w:rsidR="00966DD8" w:rsidRPr="00556463" w:rsidTr="00AF3ECD">
        <w:trPr>
          <w:trHeight w:val="915"/>
        </w:trPr>
        <w:tc>
          <w:tcPr>
            <w:tcW w:w="462" w:type="dxa"/>
            <w:shd w:val="clear" w:color="auto" w:fill="BFBFBF" w:themeFill="background1" w:themeFillShade="BF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52" w:type="dxa"/>
            <w:shd w:val="clear" w:color="auto" w:fill="BFBFBF" w:themeFill="background1" w:themeFillShade="BF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Opis</w:t>
            </w:r>
            <w:proofErr w:type="spellEnd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parametru</w:t>
            </w:r>
            <w:proofErr w:type="spellEnd"/>
          </w:p>
        </w:tc>
        <w:tc>
          <w:tcPr>
            <w:tcW w:w="3817" w:type="dxa"/>
            <w:shd w:val="clear" w:color="auto" w:fill="BFBFBF" w:themeFill="background1" w:themeFillShade="BF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  <w:t>Potwierdzenie minimalnych wymagań lub /Parametry ofer</w:t>
            </w:r>
            <w:r w:rsidR="0068456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  <w:t xml:space="preserve">owane 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Przeglądy</w:t>
            </w:r>
            <w:proofErr w:type="spellEnd"/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915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Regularne przeglądu serwisowe  – interwały i zakres przeglądów według wymagań producenta lecz nie rzadziej niż raz w roku, terminy przeglądów uzgodnione z zamawiającym lecz bez potrzeby wzywania przez zamawiającego do ich wykonania.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Przegląd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obejmuje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Sprawdzenie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bezpieczeństwa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mechanicznego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Kontrola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występowania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usterek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zewnętrznych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Inspekcja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zużycia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części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Oczyszczanie dróg chłodzenia i odprowadzania ciepła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Smarowanie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ruchomych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części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mechanicznych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Sprawdzanie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bezpieczeństwa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elektrycznego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Konserwacja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softwear’u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systemowego i aplikacyjnego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Porządkowanie przestrzeni dyskowej i bazy danych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Sprawdzenie funkcjonowania urządzenia i jego gotowości do pracy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Sporządzenie i dostarczenie dokumentacji przeglądów w postaci protokołu przeglądu oraz dokonanie wpisu w paszport techniczny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Kontrola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jakości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33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Wykonywanie testów kontroli jakości podczas każdego przeglądu technicznego.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9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testów  pola magnetycznego</w:t>
            </w:r>
            <w:r w:rsidR="005F6BC3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i elektromagnetycznego</w:t>
            </w: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co najmniej raz w roku zgodnie z Rozporządzeniem ministra zdrowia w sprawie badan i pomiarów czynników szkodliwych w środowisku pracy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Sporządzenie i dostarczenie sprawozdań z testów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Naprawy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Interwencje na wezwanie-praca w miejscu lokalizacji aparatury wraz z dojazdem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Usuwanie awarii maksymalnie 5 dni od daty zgłoszenia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Diagnozowanie błędów usuwanie usterek oraz likwidowanie szkód powstałych w skutek naturalnego zużycia części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Kontrola urządzenia po przeprowadzonej naprawie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Dokumentacja interwencji serwisowych poprzez raport serwisowy oraz dokonanie wpisu w paszport techniczny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Modyfikacje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Przeprowadzenie środków zapobiegawczych w celu zwiększenia bezpieczeństwa pracy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Wykonanie zalecanych przez producenta aktualizacji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softwear’u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 systemowego i aplikacyjnego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zalecanych przez producenta modyfikacji urządzenia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6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modyfikacji urządzeń aby spełniały aktualne normy prawne, to jest rozporządzenia ministra zdrowia i prawo atomowe.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Części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zamienne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12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Dostarczenie wszystkich części zamiennych w celu zastąpienia części które na skutek normalnego użytkowania urządzenia uległy zużyciu lub stały się nieprzydatne w dalszej eksploatacji, włączając głowice helową, cewki i inne komponenty specjalistyczne.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Dostarczenie materiałów niezbędnych do przeprowadzenia przeglądu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Dostarczenie materiałów niezbędnych do przeprowadzenia modyfikacji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Pomoc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aplikacyjna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 zakresie wsparcia technicznego przez inżyniera serwisu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Telefoniczny „Helpdesk” aplikacyjny przez cały okres trwania umowy w dni robocze od godziny 9 do 14</w:t>
            </w:r>
          </w:p>
        </w:tc>
        <w:tc>
          <w:tcPr>
            <w:tcW w:w="3817" w:type="dxa"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</w:tr>
      <w:tr w:rsidR="00966DD8" w:rsidRPr="00966DD8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Zdalna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diagnostyka</w:t>
            </w:r>
            <w:proofErr w:type="spellEnd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urządzenia</w:t>
            </w:r>
            <w:proofErr w:type="spellEnd"/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966DD8" w:rsidTr="00AF3ECD">
        <w:trPr>
          <w:trHeight w:val="300"/>
        </w:trPr>
        <w:tc>
          <w:tcPr>
            <w:tcW w:w="462" w:type="dxa"/>
            <w:shd w:val="clear" w:color="auto" w:fill="D9D9D9" w:themeFill="background1" w:themeFillShade="D9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Wymagania</w:t>
            </w:r>
            <w:proofErr w:type="spellEnd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dodatkowe</w:t>
            </w:r>
            <w:proofErr w:type="spellEnd"/>
          </w:p>
        </w:tc>
        <w:tc>
          <w:tcPr>
            <w:tcW w:w="3817" w:type="dxa"/>
            <w:shd w:val="clear" w:color="auto" w:fill="D9D9D9" w:themeFill="background1" w:themeFillShade="D9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966DD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Utrzymanie poziomu helu na poziomie minimum 70% 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Wykonanie wzbudzenia pola magnetycznego po jego awaryjnym zdjęciu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Przedstawienie imiennego wykazu osób uprawnionych do dokonywania napraw 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66DD8" w:rsidRPr="00556463" w:rsidTr="005F6BC3">
        <w:trPr>
          <w:trHeight w:val="300"/>
        </w:trPr>
        <w:tc>
          <w:tcPr>
            <w:tcW w:w="462" w:type="dxa"/>
          </w:tcPr>
          <w:p w:rsidR="00966DD8" w:rsidRPr="00966DD8" w:rsidRDefault="00966DD8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  <w:hideMark/>
          </w:tcPr>
          <w:p w:rsidR="00966DD8" w:rsidRPr="00966DD8" w:rsidRDefault="00966DD8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Podpisanie oświadczenia o zapewnieniu bezpieczeństwa danych osobowych</w:t>
            </w:r>
          </w:p>
        </w:tc>
        <w:tc>
          <w:tcPr>
            <w:tcW w:w="3817" w:type="dxa"/>
            <w:hideMark/>
          </w:tcPr>
          <w:p w:rsidR="00966DD8" w:rsidRPr="00966DD8" w:rsidRDefault="00966DD8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6DD8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 </w:t>
            </w:r>
          </w:p>
        </w:tc>
      </w:tr>
      <w:tr w:rsidR="00996BF4" w:rsidRPr="00556463" w:rsidTr="005F6BC3">
        <w:trPr>
          <w:trHeight w:val="300"/>
        </w:trPr>
        <w:tc>
          <w:tcPr>
            <w:tcW w:w="462" w:type="dxa"/>
          </w:tcPr>
          <w:p w:rsidR="00996BF4" w:rsidRPr="00966DD8" w:rsidRDefault="00996BF4" w:rsidP="00966DD8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652" w:type="dxa"/>
          </w:tcPr>
          <w:p w:rsidR="00996BF4" w:rsidRPr="00966DD8" w:rsidRDefault="00996BF4" w:rsidP="00D5202E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96BF4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>Wykonawca zobowiązany jest do  dokonania wszelkich niezbędnych konfiguracji, zmian ustawień i wymaganych podłączeń w związku  z mogącą nastąpić u Zamawiającego wymianą lub aktualizacją systemów informatycznych typu   RIS, PACS, HIS.</w:t>
            </w:r>
          </w:p>
        </w:tc>
        <w:tc>
          <w:tcPr>
            <w:tcW w:w="3817" w:type="dxa"/>
          </w:tcPr>
          <w:p w:rsidR="00996BF4" w:rsidRPr="00966DD8" w:rsidRDefault="00996BF4" w:rsidP="00D520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385802" w:rsidRDefault="00385802">
      <w:pPr>
        <w:rPr>
          <w:rFonts w:ascii="Arial Narrow" w:hAnsi="Arial Narrow"/>
          <w:sz w:val="20"/>
          <w:szCs w:val="20"/>
          <w:lang w:val="pl-PL"/>
        </w:rPr>
      </w:pPr>
    </w:p>
    <w:p w:rsidR="003A48D8" w:rsidRPr="003A48D8" w:rsidRDefault="003A48D8" w:rsidP="003A48D8">
      <w:pPr>
        <w:suppressAutoHyphens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3A48D8">
        <w:rPr>
          <w:rFonts w:ascii="Tahoma" w:hAnsi="Tahoma" w:cs="Tahoma"/>
          <w:b/>
          <w:bCs/>
          <w:sz w:val="18"/>
          <w:szCs w:val="18"/>
          <w:lang w:val="pl-PL"/>
        </w:rPr>
        <w:t>POUCZENIE:</w:t>
      </w:r>
    </w:p>
    <w:p w:rsidR="003A48D8" w:rsidRPr="003A48D8" w:rsidRDefault="003A48D8" w:rsidP="003A48D8">
      <w:pPr>
        <w:suppressAutoHyphens w:val="0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3A48D8">
        <w:rPr>
          <w:rFonts w:ascii="Tahoma" w:hAnsi="Tahoma" w:cs="Tahoma"/>
          <w:bCs/>
          <w:sz w:val="18"/>
          <w:szCs w:val="18"/>
          <w:lang w:val="pl-PL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3A48D8" w:rsidRPr="003A48D8" w:rsidRDefault="003A48D8" w:rsidP="003A48D8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3A48D8" w:rsidRDefault="003A48D8" w:rsidP="003A48D8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3A48D8" w:rsidRDefault="003A48D8" w:rsidP="003A48D8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3A48D8" w:rsidRPr="003A48D8" w:rsidRDefault="003A48D8" w:rsidP="003A48D8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 xml:space="preserve">....................................……..……                 </w:t>
      </w:r>
      <w:r w:rsidRPr="003A48D8">
        <w:rPr>
          <w:rFonts w:ascii="Tahoma" w:hAnsi="Tahoma" w:cs="Tahoma"/>
          <w:sz w:val="18"/>
          <w:szCs w:val="18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3A48D8" w:rsidRPr="003A48D8" w:rsidRDefault="003A48D8" w:rsidP="003A48D8">
      <w:pPr>
        <w:tabs>
          <w:tab w:val="left" w:pos="4253"/>
        </w:tabs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 xml:space="preserve">         (miejscowość, data)                              </w:t>
      </w:r>
      <w:r w:rsidRPr="003A48D8">
        <w:rPr>
          <w:rFonts w:ascii="Tahoma" w:hAnsi="Tahoma" w:cs="Tahoma"/>
          <w:sz w:val="18"/>
          <w:szCs w:val="18"/>
          <w:lang w:val="pl-PL"/>
        </w:rPr>
        <w:tab/>
        <w:t xml:space="preserve">(pieczęć i podpis osoby / osób wskazanych w </w:t>
      </w: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</w:r>
      <w:r w:rsidRPr="003A48D8">
        <w:rPr>
          <w:rFonts w:ascii="Tahoma" w:hAnsi="Tahoma" w:cs="Tahoma"/>
          <w:sz w:val="18"/>
          <w:szCs w:val="18"/>
          <w:lang w:val="pl-PL"/>
        </w:rPr>
        <w:tab/>
        <w:t xml:space="preserve">dokumencie, uprawnionej /uprawnionych  do  </w:t>
      </w:r>
    </w:p>
    <w:p w:rsidR="003A48D8" w:rsidRPr="003A48D8" w:rsidRDefault="003A48D8" w:rsidP="003A48D8">
      <w:pPr>
        <w:suppressAutoHyphens w:val="0"/>
        <w:ind w:left="4248"/>
        <w:rPr>
          <w:rFonts w:ascii="Tahoma" w:hAnsi="Tahoma" w:cs="Tahoma"/>
          <w:sz w:val="18"/>
          <w:szCs w:val="18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>występowania  w obrocie prawnym, reprezentowania Wykonawcy i składania oświadczeń woli w jego imieniu</w:t>
      </w: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3A48D8" w:rsidRPr="003A48D8" w:rsidRDefault="003A48D8" w:rsidP="003A48D8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3A48D8" w:rsidRPr="003A48D8" w:rsidRDefault="003A48D8" w:rsidP="003A48D8">
      <w:pPr>
        <w:rPr>
          <w:rFonts w:ascii="Arial Narrow" w:hAnsi="Arial Narrow"/>
          <w:sz w:val="20"/>
          <w:szCs w:val="20"/>
          <w:lang w:val="pl-PL"/>
        </w:rPr>
      </w:pPr>
      <w:r w:rsidRPr="003A48D8">
        <w:rPr>
          <w:rFonts w:ascii="Tahoma" w:hAnsi="Tahoma" w:cs="Tahoma"/>
          <w:sz w:val="18"/>
          <w:szCs w:val="18"/>
          <w:lang w:val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3A48D8" w:rsidRPr="003A48D8" w:rsidSect="00AF3ECD">
      <w:footerReference w:type="default" r:id="rId9"/>
      <w:pgSz w:w="11906" w:h="16838"/>
      <w:pgMar w:top="720" w:right="720" w:bottom="72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31" w:rsidRDefault="00074731" w:rsidP="003A48D8">
      <w:r>
        <w:separator/>
      </w:r>
    </w:p>
  </w:endnote>
  <w:endnote w:type="continuationSeparator" w:id="0">
    <w:p w:rsidR="00074731" w:rsidRDefault="00074731" w:rsidP="003A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CD" w:rsidRPr="003A48D8" w:rsidRDefault="001B28CD">
    <w:pPr>
      <w:pStyle w:val="Stopka"/>
      <w:rPr>
        <w:sz w:val="20"/>
        <w:szCs w:val="20"/>
        <w:lang w:val="pl-PL"/>
      </w:rPr>
    </w:pPr>
    <w:r w:rsidRPr="003A48D8">
      <w:rPr>
        <w:sz w:val="20"/>
        <w:szCs w:val="20"/>
        <w:lang w:val="pl-PL"/>
      </w:rPr>
      <w:t>EZP/220/6</w:t>
    </w:r>
    <w:r w:rsidR="00556463">
      <w:rPr>
        <w:sz w:val="20"/>
        <w:szCs w:val="20"/>
        <w:lang w:val="pl-PL"/>
      </w:rPr>
      <w:t>6</w:t>
    </w:r>
    <w:r w:rsidRPr="003A48D8">
      <w:rPr>
        <w:sz w:val="20"/>
        <w:szCs w:val="20"/>
        <w:lang w:val="pl-PL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31" w:rsidRDefault="00074731" w:rsidP="003A48D8">
      <w:r>
        <w:separator/>
      </w:r>
    </w:p>
  </w:footnote>
  <w:footnote w:type="continuationSeparator" w:id="0">
    <w:p w:rsidR="00074731" w:rsidRDefault="00074731" w:rsidP="003A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-142"/>
        </w:tabs>
        <w:ind w:left="426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</w:lvl>
  </w:abstractNum>
  <w:abstractNum w:abstractNumId="2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111F7B"/>
    <w:multiLevelType w:val="hybridMultilevel"/>
    <w:tmpl w:val="E2020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45795"/>
    <w:multiLevelType w:val="hybridMultilevel"/>
    <w:tmpl w:val="66844F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D35C2"/>
    <w:multiLevelType w:val="hybridMultilevel"/>
    <w:tmpl w:val="2B58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3A71A24"/>
    <w:multiLevelType w:val="hybridMultilevel"/>
    <w:tmpl w:val="FA3C738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8CB4A20"/>
    <w:multiLevelType w:val="hybridMultilevel"/>
    <w:tmpl w:val="777072B8"/>
    <w:lvl w:ilvl="0" w:tplc="A508B64E">
      <w:start w:val="2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EF007A1"/>
    <w:multiLevelType w:val="hybridMultilevel"/>
    <w:tmpl w:val="39BADEA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AB5807"/>
    <w:multiLevelType w:val="hybridMultilevel"/>
    <w:tmpl w:val="838029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3DA3EE3"/>
    <w:multiLevelType w:val="hybridMultilevel"/>
    <w:tmpl w:val="8B526FFE"/>
    <w:lvl w:ilvl="0" w:tplc="3036E9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57B30AC"/>
    <w:multiLevelType w:val="hybridMultilevel"/>
    <w:tmpl w:val="CC9C0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D28EB"/>
    <w:multiLevelType w:val="hybridMultilevel"/>
    <w:tmpl w:val="F59620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4AE25FA"/>
    <w:multiLevelType w:val="hybridMultilevel"/>
    <w:tmpl w:val="67C6A3E6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66744D91"/>
    <w:multiLevelType w:val="hybridMultilevel"/>
    <w:tmpl w:val="D8D0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2D"/>
    <w:rsid w:val="00074731"/>
    <w:rsid w:val="00093B7D"/>
    <w:rsid w:val="000A02F7"/>
    <w:rsid w:val="000A6C10"/>
    <w:rsid w:val="000A70DD"/>
    <w:rsid w:val="000B7255"/>
    <w:rsid w:val="00106AE7"/>
    <w:rsid w:val="00112710"/>
    <w:rsid w:val="0015246A"/>
    <w:rsid w:val="001929A2"/>
    <w:rsid w:val="0019305A"/>
    <w:rsid w:val="001B28CD"/>
    <w:rsid w:val="001D28EA"/>
    <w:rsid w:val="001E36B8"/>
    <w:rsid w:val="00224AFC"/>
    <w:rsid w:val="00233EA7"/>
    <w:rsid w:val="00243D8A"/>
    <w:rsid w:val="002A24DF"/>
    <w:rsid w:val="002B771A"/>
    <w:rsid w:val="002C5B81"/>
    <w:rsid w:val="002F05B3"/>
    <w:rsid w:val="002F1887"/>
    <w:rsid w:val="002F41E1"/>
    <w:rsid w:val="00301238"/>
    <w:rsid w:val="00331250"/>
    <w:rsid w:val="00340DF4"/>
    <w:rsid w:val="003606B6"/>
    <w:rsid w:val="00385802"/>
    <w:rsid w:val="003A0FCF"/>
    <w:rsid w:val="003A48D8"/>
    <w:rsid w:val="003B594B"/>
    <w:rsid w:val="00400B9D"/>
    <w:rsid w:val="00410594"/>
    <w:rsid w:val="004113B9"/>
    <w:rsid w:val="00413C04"/>
    <w:rsid w:val="004216A9"/>
    <w:rsid w:val="00430BD5"/>
    <w:rsid w:val="004370B3"/>
    <w:rsid w:val="004467F8"/>
    <w:rsid w:val="00476346"/>
    <w:rsid w:val="00491EDD"/>
    <w:rsid w:val="004C0514"/>
    <w:rsid w:val="00516A53"/>
    <w:rsid w:val="00545DE3"/>
    <w:rsid w:val="00556463"/>
    <w:rsid w:val="00560ABE"/>
    <w:rsid w:val="0056422D"/>
    <w:rsid w:val="00595868"/>
    <w:rsid w:val="005B0D10"/>
    <w:rsid w:val="005E58EE"/>
    <w:rsid w:val="005F2C3D"/>
    <w:rsid w:val="005F6BC3"/>
    <w:rsid w:val="006263A0"/>
    <w:rsid w:val="0064161F"/>
    <w:rsid w:val="00657D62"/>
    <w:rsid w:val="00662BC0"/>
    <w:rsid w:val="006674E6"/>
    <w:rsid w:val="00684568"/>
    <w:rsid w:val="00686AA3"/>
    <w:rsid w:val="006C07D0"/>
    <w:rsid w:val="0073670F"/>
    <w:rsid w:val="00742C09"/>
    <w:rsid w:val="00745501"/>
    <w:rsid w:val="00782DF2"/>
    <w:rsid w:val="007A5D55"/>
    <w:rsid w:val="007B36A1"/>
    <w:rsid w:val="00800FC2"/>
    <w:rsid w:val="00895545"/>
    <w:rsid w:val="0092489E"/>
    <w:rsid w:val="00937712"/>
    <w:rsid w:val="00966DD8"/>
    <w:rsid w:val="00996BF4"/>
    <w:rsid w:val="009A09D2"/>
    <w:rsid w:val="009B24A8"/>
    <w:rsid w:val="009D6457"/>
    <w:rsid w:val="009E34DD"/>
    <w:rsid w:val="00A45275"/>
    <w:rsid w:val="00A56237"/>
    <w:rsid w:val="00A604B2"/>
    <w:rsid w:val="00A736A5"/>
    <w:rsid w:val="00AA4281"/>
    <w:rsid w:val="00AA7924"/>
    <w:rsid w:val="00AE60F1"/>
    <w:rsid w:val="00AF3ECD"/>
    <w:rsid w:val="00B41C89"/>
    <w:rsid w:val="00B56244"/>
    <w:rsid w:val="00BC149B"/>
    <w:rsid w:val="00BE375E"/>
    <w:rsid w:val="00C1598C"/>
    <w:rsid w:val="00C23CCF"/>
    <w:rsid w:val="00C52C11"/>
    <w:rsid w:val="00C53E97"/>
    <w:rsid w:val="00C56159"/>
    <w:rsid w:val="00C9121A"/>
    <w:rsid w:val="00CB5F22"/>
    <w:rsid w:val="00D035BB"/>
    <w:rsid w:val="00D5202E"/>
    <w:rsid w:val="00D57047"/>
    <w:rsid w:val="00D75B91"/>
    <w:rsid w:val="00DA096D"/>
    <w:rsid w:val="00DA3C09"/>
    <w:rsid w:val="00DA56A8"/>
    <w:rsid w:val="00DC50FC"/>
    <w:rsid w:val="00DF7376"/>
    <w:rsid w:val="00E8315E"/>
    <w:rsid w:val="00EF72FE"/>
    <w:rsid w:val="00F262E0"/>
    <w:rsid w:val="00F40C50"/>
    <w:rsid w:val="00F4659F"/>
    <w:rsid w:val="00F54F1F"/>
    <w:rsid w:val="00FD6434"/>
    <w:rsid w:val="00FF522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576"/>
      </w:tabs>
      <w:ind w:left="576" w:hanging="576"/>
      <w:outlineLvl w:val="1"/>
    </w:pPr>
    <w:rPr>
      <w:rFonts w:ascii="Arial Narrow" w:hAnsi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720"/>
      </w:tabs>
      <w:ind w:left="720" w:hanging="720"/>
      <w:outlineLvl w:val="2"/>
    </w:pPr>
    <w:rPr>
      <w:rFonts w:ascii="Arial Narrow" w:hAnsi="Arial Narrow"/>
      <w:b/>
      <w:sz w:val="20"/>
      <w:szCs w:val="20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 Narrow" w:hAnsi="Arial Narrow" w:cs="Arial"/>
      <w:b/>
      <w:sz w:val="20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1008"/>
      </w:tabs>
      <w:ind w:left="27"/>
      <w:outlineLvl w:val="4"/>
    </w:pPr>
    <w:rPr>
      <w:rFonts w:ascii="Arial Narrow" w:eastAsia="ArialNarrow" w:hAnsi="Arial Narrow" w:cs="Arial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1152"/>
      </w:tabs>
      <w:ind w:left="1152" w:hanging="1152"/>
      <w:outlineLvl w:val="5"/>
    </w:pPr>
    <w:rPr>
      <w:rFonts w:ascii="Arial Narrow" w:hAnsi="Arial Narrow" w:cs="Arial"/>
      <w:b/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SimSun" w:hAnsi="Times New Roman" w:cs="Mangal"/>
      <w:b/>
      <w:kern w:val="1"/>
      <w:sz w:val="18"/>
      <w:szCs w:val="20"/>
    </w:rPr>
  </w:style>
  <w:style w:type="character" w:customStyle="1" w:styleId="Nagwek2Znak">
    <w:name w:val="Nagłówek 2 Znak"/>
    <w:rPr>
      <w:rFonts w:ascii="Arial Narrow" w:eastAsia="SimSun" w:hAnsi="Arial Narrow" w:cs="Mangal"/>
      <w:b/>
      <w:bCs/>
      <w:kern w:val="1"/>
      <w:sz w:val="20"/>
      <w:szCs w:val="20"/>
      <w:u w:val="single"/>
    </w:rPr>
  </w:style>
  <w:style w:type="character" w:customStyle="1" w:styleId="Nagwek3Znak">
    <w:name w:val="Nagłówek 3 Znak"/>
    <w:rPr>
      <w:rFonts w:ascii="Arial Narrow" w:eastAsia="SimSun" w:hAnsi="Arial Narrow" w:cs="Mangal"/>
      <w:b/>
      <w:kern w:val="1"/>
      <w:sz w:val="20"/>
      <w:szCs w:val="20"/>
    </w:rPr>
  </w:style>
  <w:style w:type="character" w:customStyle="1" w:styleId="Nagwek4Znak">
    <w:name w:val="Nagłówek 4 Znak"/>
    <w:rPr>
      <w:rFonts w:ascii="Arial Narrow" w:eastAsia="SimSun" w:hAnsi="Arial Narrow" w:cs="Arial"/>
      <w:b/>
      <w:kern w:val="1"/>
      <w:sz w:val="20"/>
      <w:szCs w:val="24"/>
    </w:rPr>
  </w:style>
  <w:style w:type="character" w:customStyle="1" w:styleId="Nagwek5Znak">
    <w:name w:val="Nagłówek 5 Znak"/>
    <w:rPr>
      <w:rFonts w:ascii="Arial Narrow" w:eastAsia="ArialNarrow" w:hAnsi="Arial Narrow" w:cs="Arial"/>
      <w:b/>
      <w:bCs/>
      <w:kern w:val="1"/>
      <w:sz w:val="20"/>
      <w:szCs w:val="20"/>
    </w:rPr>
  </w:style>
  <w:style w:type="character" w:customStyle="1" w:styleId="Nagwek6Znak">
    <w:name w:val="Nagłówek 6 Znak"/>
    <w:rPr>
      <w:rFonts w:ascii="Arial Narrow" w:eastAsia="SimSun" w:hAnsi="Arial Narrow" w:cs="Arial"/>
      <w:b/>
      <w:i/>
      <w:kern w:val="1"/>
      <w:sz w:val="20"/>
      <w:szCs w:val="20"/>
      <w:u w:val="single"/>
    </w:rPr>
  </w:style>
  <w:style w:type="character" w:customStyle="1" w:styleId="TekstkomentarzaZnak">
    <w:name w:val="Tekst komentarza Znak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2Znak">
    <w:name w:val="Tekst podstawowy 2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matkomentarzaZnak">
    <w:name w:val="Temat komentarza Znak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2Znak1">
    <w:name w:val="Tekst podstawowy 2 Znak1"/>
    <w:rPr>
      <w:rFonts w:ascii="Arial" w:eastAsia="SimSun" w:hAnsi="Arial" w:cs="Mangal"/>
      <w:szCs w:val="20"/>
    </w:rPr>
  </w:style>
  <w:style w:type="character" w:customStyle="1" w:styleId="StopkaZnak1">
    <w:name w:val="Stopka Znak1"/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character" w:customStyle="1" w:styleId="TekstkomentarzaZnak1">
    <w:name w:val="Tekst komentarza Znak1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TematkomentarzaZnak1">
    <w:name w:val="Temat komentarza Znak1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ListLabel1">
    <w:name w:val="ListLabel 1"/>
    <w:rPr>
      <w:b w:val="0"/>
      <w:i w:val="0"/>
      <w:color w:val="00000A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cs="Times New Roman"/>
      <w:lang w:val="en-US"/>
    </w:rPr>
  </w:style>
  <w:style w:type="paragraph" w:customStyle="1" w:styleId="Tekstpodstawowy21">
    <w:name w:val="Tekst podstawowy 21"/>
    <w:basedOn w:val="Normalny"/>
    <w:pPr>
      <w:widowControl/>
      <w:suppressAutoHyphens w:val="0"/>
    </w:pPr>
    <w:rPr>
      <w:rFonts w:ascii="Arial" w:hAnsi="Arial"/>
      <w:sz w:val="22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eastAsia="Times New Roman" w:cs="Times New Roman"/>
    </w:rPr>
  </w:style>
  <w:style w:type="paragraph" w:customStyle="1" w:styleId="Header1">
    <w:name w:val="Header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Heading11">
    <w:name w:val="Heading 11"/>
    <w:basedOn w:val="Normalny"/>
    <w:pPr>
      <w:keepNext/>
      <w:ind w:left="2127" w:firstLine="3402"/>
      <w:jc w:val="both"/>
    </w:pPr>
    <w:rPr>
      <w:b/>
      <w:sz w:val="28"/>
      <w:szCs w:val="20"/>
      <w:u w:val="single"/>
    </w:rPr>
  </w:style>
  <w:style w:type="paragraph" w:customStyle="1" w:styleId="Tekstpodstawowy210">
    <w:name w:val="Tekst podstawowy 21"/>
    <w:basedOn w:val="Normalny"/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val="en-GB" w:eastAsia="ar-SA"/>
    </w:rPr>
  </w:style>
  <w:style w:type="paragraph" w:customStyle="1" w:styleId="ZnakZnakZnakZnak">
    <w:name w:val="Znak Znak Znak Znak"/>
    <w:basedOn w:val="Normalny"/>
    <w:pPr>
      <w:widowControl/>
      <w:suppressAutoHyphens w:val="0"/>
    </w:pPr>
    <w:rPr>
      <w:rFonts w:eastAsia="Times New Roman" w:cs="Times New Roman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Akapitzlist">
    <w:name w:val="List Paragraph"/>
    <w:basedOn w:val="Normalny"/>
    <w:uiPriority w:val="34"/>
    <w:qFormat/>
    <w:rsid w:val="0019305A"/>
    <w:pPr>
      <w:ind w:left="708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E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262E0"/>
    <w:rPr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262E0"/>
    <w:rPr>
      <w:rFonts w:eastAsia="SimSun" w:cs="Mangal"/>
      <w:kern w:val="1"/>
      <w:szCs w:val="18"/>
      <w:lang w:val="en-GB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F262E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F262E0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262E0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262E0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customStyle="1" w:styleId="Standard">
    <w:name w:val="Standard"/>
    <w:rsid w:val="00D035BB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9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576"/>
      </w:tabs>
      <w:ind w:left="576" w:hanging="576"/>
      <w:outlineLvl w:val="1"/>
    </w:pPr>
    <w:rPr>
      <w:rFonts w:ascii="Arial Narrow" w:hAnsi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720"/>
      </w:tabs>
      <w:ind w:left="720" w:hanging="720"/>
      <w:outlineLvl w:val="2"/>
    </w:pPr>
    <w:rPr>
      <w:rFonts w:ascii="Arial Narrow" w:hAnsi="Arial Narrow"/>
      <w:b/>
      <w:sz w:val="20"/>
      <w:szCs w:val="20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 Narrow" w:hAnsi="Arial Narrow" w:cs="Arial"/>
      <w:b/>
      <w:sz w:val="20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1008"/>
      </w:tabs>
      <w:ind w:left="27"/>
      <w:outlineLvl w:val="4"/>
    </w:pPr>
    <w:rPr>
      <w:rFonts w:ascii="Arial Narrow" w:eastAsia="ArialNarrow" w:hAnsi="Arial Narrow" w:cs="Arial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1152"/>
      </w:tabs>
      <w:ind w:left="1152" w:hanging="1152"/>
      <w:outlineLvl w:val="5"/>
    </w:pPr>
    <w:rPr>
      <w:rFonts w:ascii="Arial Narrow" w:hAnsi="Arial Narrow" w:cs="Arial"/>
      <w:b/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SimSun" w:hAnsi="Times New Roman" w:cs="Mangal"/>
      <w:b/>
      <w:kern w:val="1"/>
      <w:sz w:val="18"/>
      <w:szCs w:val="20"/>
    </w:rPr>
  </w:style>
  <w:style w:type="character" w:customStyle="1" w:styleId="Nagwek2Znak">
    <w:name w:val="Nagłówek 2 Znak"/>
    <w:rPr>
      <w:rFonts w:ascii="Arial Narrow" w:eastAsia="SimSun" w:hAnsi="Arial Narrow" w:cs="Mangal"/>
      <w:b/>
      <w:bCs/>
      <w:kern w:val="1"/>
      <w:sz w:val="20"/>
      <w:szCs w:val="20"/>
      <w:u w:val="single"/>
    </w:rPr>
  </w:style>
  <w:style w:type="character" w:customStyle="1" w:styleId="Nagwek3Znak">
    <w:name w:val="Nagłówek 3 Znak"/>
    <w:rPr>
      <w:rFonts w:ascii="Arial Narrow" w:eastAsia="SimSun" w:hAnsi="Arial Narrow" w:cs="Mangal"/>
      <w:b/>
      <w:kern w:val="1"/>
      <w:sz w:val="20"/>
      <w:szCs w:val="20"/>
    </w:rPr>
  </w:style>
  <w:style w:type="character" w:customStyle="1" w:styleId="Nagwek4Znak">
    <w:name w:val="Nagłówek 4 Znak"/>
    <w:rPr>
      <w:rFonts w:ascii="Arial Narrow" w:eastAsia="SimSun" w:hAnsi="Arial Narrow" w:cs="Arial"/>
      <w:b/>
      <w:kern w:val="1"/>
      <w:sz w:val="20"/>
      <w:szCs w:val="24"/>
    </w:rPr>
  </w:style>
  <w:style w:type="character" w:customStyle="1" w:styleId="Nagwek5Znak">
    <w:name w:val="Nagłówek 5 Znak"/>
    <w:rPr>
      <w:rFonts w:ascii="Arial Narrow" w:eastAsia="ArialNarrow" w:hAnsi="Arial Narrow" w:cs="Arial"/>
      <w:b/>
      <w:bCs/>
      <w:kern w:val="1"/>
      <w:sz w:val="20"/>
      <w:szCs w:val="20"/>
    </w:rPr>
  </w:style>
  <w:style w:type="character" w:customStyle="1" w:styleId="Nagwek6Znak">
    <w:name w:val="Nagłówek 6 Znak"/>
    <w:rPr>
      <w:rFonts w:ascii="Arial Narrow" w:eastAsia="SimSun" w:hAnsi="Arial Narrow" w:cs="Arial"/>
      <w:b/>
      <w:i/>
      <w:kern w:val="1"/>
      <w:sz w:val="20"/>
      <w:szCs w:val="20"/>
      <w:u w:val="single"/>
    </w:rPr>
  </w:style>
  <w:style w:type="character" w:customStyle="1" w:styleId="TekstkomentarzaZnak">
    <w:name w:val="Tekst komentarza Znak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2Znak">
    <w:name w:val="Tekst podstawowy 2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matkomentarzaZnak">
    <w:name w:val="Temat komentarza Znak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2Znak1">
    <w:name w:val="Tekst podstawowy 2 Znak1"/>
    <w:rPr>
      <w:rFonts w:ascii="Arial" w:eastAsia="SimSun" w:hAnsi="Arial" w:cs="Mangal"/>
      <w:szCs w:val="20"/>
    </w:rPr>
  </w:style>
  <w:style w:type="character" w:customStyle="1" w:styleId="StopkaZnak1">
    <w:name w:val="Stopka Znak1"/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character" w:customStyle="1" w:styleId="TekstkomentarzaZnak1">
    <w:name w:val="Tekst komentarza Znak1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TematkomentarzaZnak1">
    <w:name w:val="Temat komentarza Znak1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ListLabel1">
    <w:name w:val="ListLabel 1"/>
    <w:rPr>
      <w:b w:val="0"/>
      <w:i w:val="0"/>
      <w:color w:val="00000A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rFonts w:cs="Times New Roman"/>
      <w:lang w:val="en-US"/>
    </w:rPr>
  </w:style>
  <w:style w:type="paragraph" w:customStyle="1" w:styleId="Tekstpodstawowy21">
    <w:name w:val="Tekst podstawowy 21"/>
    <w:basedOn w:val="Normalny"/>
    <w:pPr>
      <w:widowControl/>
      <w:suppressAutoHyphens w:val="0"/>
    </w:pPr>
    <w:rPr>
      <w:rFonts w:ascii="Arial" w:hAnsi="Arial"/>
      <w:sz w:val="22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eastAsia="Times New Roman" w:cs="Times New Roman"/>
    </w:rPr>
  </w:style>
  <w:style w:type="paragraph" w:customStyle="1" w:styleId="Header1">
    <w:name w:val="Header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Heading11">
    <w:name w:val="Heading 11"/>
    <w:basedOn w:val="Normalny"/>
    <w:pPr>
      <w:keepNext/>
      <w:ind w:left="2127" w:firstLine="3402"/>
      <w:jc w:val="both"/>
    </w:pPr>
    <w:rPr>
      <w:b/>
      <w:sz w:val="28"/>
      <w:szCs w:val="20"/>
      <w:u w:val="single"/>
    </w:rPr>
  </w:style>
  <w:style w:type="paragraph" w:customStyle="1" w:styleId="Tekstpodstawowy210">
    <w:name w:val="Tekst podstawowy 21"/>
    <w:basedOn w:val="Normalny"/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val="en-GB" w:eastAsia="ar-SA"/>
    </w:rPr>
  </w:style>
  <w:style w:type="paragraph" w:customStyle="1" w:styleId="ZnakZnakZnakZnak">
    <w:name w:val="Znak Znak Znak Znak"/>
    <w:basedOn w:val="Normalny"/>
    <w:pPr>
      <w:widowControl/>
      <w:suppressAutoHyphens w:val="0"/>
    </w:pPr>
    <w:rPr>
      <w:rFonts w:eastAsia="Times New Roman" w:cs="Times New Roman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Akapitzlist">
    <w:name w:val="List Paragraph"/>
    <w:basedOn w:val="Normalny"/>
    <w:uiPriority w:val="34"/>
    <w:qFormat/>
    <w:rsid w:val="0019305A"/>
    <w:pPr>
      <w:ind w:left="708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E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262E0"/>
    <w:rPr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262E0"/>
    <w:rPr>
      <w:rFonts w:eastAsia="SimSun" w:cs="Mangal"/>
      <w:kern w:val="1"/>
      <w:szCs w:val="18"/>
      <w:lang w:val="en-GB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F262E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F262E0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262E0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262E0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customStyle="1" w:styleId="Standard">
    <w:name w:val="Standard"/>
    <w:rsid w:val="00D035BB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9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F834-305A-4D86-84A8-CACF6DB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6318</Words>
  <Characters>37914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Marta Potiechin-Nowak</cp:lastModifiedBy>
  <cp:revision>4</cp:revision>
  <cp:lastPrinted>2016-08-02T06:26:00Z</cp:lastPrinted>
  <dcterms:created xsi:type="dcterms:W3CDTF">2016-08-17T08:28:00Z</dcterms:created>
  <dcterms:modified xsi:type="dcterms:W3CDTF">2016-08-17T11:16:00Z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